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jc w:val="center"/>
        <w:rPr>
          <w:rFonts w:ascii="仿宋_GB2312" w:hAnsi="宋体" w:eastAsia="仿宋_GB2312" w:cs="Times New Roman"/>
          <w:sz w:val="32"/>
          <w:szCs w:val="32"/>
        </w:rPr>
      </w:pPr>
      <w:r>
        <w:rPr>
          <w:sz w:val="36"/>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-589280</wp:posOffset>
                </wp:positionV>
                <wp:extent cx="1143000" cy="647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647700"/>
                        </a:xfrm>
                        <a:prstGeom prst="rect">
                          <a:avLst/>
                        </a:prstGeom>
                        <a:noFill/>
                        <a:ln w="15875">
                          <a:noFill/>
                        </a:ln>
                      </wps:spPr>
                      <wps:txbx>
                        <w:txbxContent>
                          <w:p>
                            <w:pPr>
                              <w:widowControl/>
                              <w:jc w:val="left"/>
                              <w:rPr>
                                <w:rFonts w:ascii="黑体" w:hAnsi="黑体" w:eastAsia="黑体"/>
                                <w:sz w:val="32"/>
                                <w:szCs w:val="32"/>
                              </w:rPr>
                            </w:pPr>
                            <w:r>
                              <w:rPr>
                                <w:rFonts w:hint="eastAsia" w:ascii="黑体" w:hAnsi="黑体" w:eastAsia="黑体"/>
                                <w:sz w:val="32"/>
                                <w:szCs w:val="32"/>
                              </w:rPr>
                              <w:t>附件1</w:t>
                            </w:r>
                          </w:p>
                          <w:p/>
                        </w:txbxContent>
                      </wps:txbx>
                      <wps:bodyPr upright="1"/>
                    </wps:wsp>
                  </a:graphicData>
                </a:graphic>
              </wp:anchor>
            </w:drawing>
          </mc:Choice>
          <mc:Fallback>
            <w:pict>
              <v:shape id="_x0000_s1026" o:spid="_x0000_s1026" o:spt="202" type="#_x0000_t202" style="position:absolute;left:0pt;margin-left:-27.25pt;margin-top:-46.4pt;height:51pt;width:90pt;z-index:251659264;mso-width-relative:page;mso-height-relative:page;" filled="f" stroked="f" coordsize="21600,21600" o:gfxdata="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us/M/bAAAACQEAAA8AAAAAAAAAAQAgAAAAIgAAAGRycy9kb3ducmV2LnhtbFBLAQIUABQA&#10;AAAIAIdO4kCsi2YWtAEAAFgDAAAOAAAAAAAAAAEAIAAAACoBAABkcnMvZTJvRG9jLnhtbFBLBQYA&#10;AAAABgAGAFkBAABQBQAAAAA=&#10;">
                <v:fill on="f" focussize="0,0"/>
                <v:stroke on="f" weight="1.25pt"/>
                <v:imagedata o:title=""/>
                <o:lock v:ext="edit" aspectratio="f"/>
                <v:textbox>
                  <w:txbxContent>
                    <w:p>
                      <w:pPr>
                        <w:widowControl/>
                        <w:jc w:val="left"/>
                        <w:rPr>
                          <w:rFonts w:ascii="黑体" w:hAnsi="黑体" w:eastAsia="黑体"/>
                          <w:sz w:val="32"/>
                          <w:szCs w:val="32"/>
                        </w:rPr>
                      </w:pPr>
                      <w:r>
                        <w:rPr>
                          <w:rFonts w:hint="eastAsia" w:ascii="黑体" w:hAnsi="黑体" w:eastAsia="黑体"/>
                          <w:sz w:val="32"/>
                          <w:szCs w:val="32"/>
                        </w:rPr>
                        <w:t>附件1</w:t>
                      </w:r>
                    </w:p>
                    <w:p/>
                  </w:txbxContent>
                </v:textbox>
              </v:shape>
            </w:pict>
          </mc:Fallback>
        </mc:AlternateContent>
      </w:r>
      <w:r>
        <w:rPr>
          <w:rFonts w:hint="eastAsia" w:ascii="方正小标宋简体" w:hAnsi="宋体" w:eastAsia="方正小标宋简体" w:cs="宋体"/>
          <w:bCs/>
          <w:color w:val="000000"/>
          <w:kern w:val="0"/>
          <w:sz w:val="40"/>
        </w:rPr>
        <w:t>生命科学学院研究生国家奖学金评审实施细则</w:t>
      </w:r>
    </w:p>
    <w:p>
      <w:pPr>
        <w:widowControl/>
        <w:spacing w:after="90" w:line="384" w:lineRule="auto"/>
        <w:ind w:firstLine="640" w:firstLineChars="200"/>
        <w:rPr>
          <w:rFonts w:ascii="楷体_GB2312" w:hAnsi="宋体" w:eastAsia="楷体_GB2312" w:cs="宋体"/>
          <w:color w:val="000000"/>
          <w:kern w:val="0"/>
          <w:sz w:val="32"/>
          <w:szCs w:val="18"/>
        </w:rPr>
      </w:pPr>
      <w:r>
        <w:rPr>
          <w:rFonts w:hint="eastAsia" w:ascii="仿宋_GB2312" w:hAnsi="宋体" w:eastAsia="仿宋_GB2312" w:cs="Times New Roman"/>
          <w:sz w:val="32"/>
          <w:szCs w:val="32"/>
        </w:rPr>
        <w:t>为进一步激励研究生认真学习、勤于科研，提高研究生培养质量，</w:t>
      </w:r>
      <w:r>
        <w:rPr>
          <w:rFonts w:hint="eastAsia" w:ascii="仿宋_GB2312" w:hAnsi="宋体" w:eastAsia="仿宋_GB2312" w:cs="宋体"/>
          <w:kern w:val="0"/>
          <w:sz w:val="32"/>
          <w:szCs w:val="32"/>
        </w:rPr>
        <w:t>根据《西北农林科技大学研究生国家奖学金评审办法》（校学发〔2014〕235号）精神，结合学院实际，制定本细则。</w:t>
      </w:r>
    </w:p>
    <w:p>
      <w:pPr>
        <w:ind w:firstLine="640" w:firstLineChars="200"/>
        <w:outlineLvl w:val="0"/>
        <w:rPr>
          <w:rFonts w:ascii="黑体" w:hAnsi="黑体" w:eastAsia="黑体" w:cs="宋体"/>
          <w:kern w:val="0"/>
          <w:sz w:val="32"/>
          <w:szCs w:val="32"/>
        </w:rPr>
      </w:pPr>
      <w:r>
        <w:rPr>
          <w:rFonts w:hint="eastAsia" w:ascii="黑体" w:hAnsi="黑体" w:eastAsia="黑体" w:cs="宋体"/>
          <w:kern w:val="0"/>
          <w:sz w:val="32"/>
          <w:szCs w:val="32"/>
        </w:rPr>
        <w:t>一、评审机构</w:t>
      </w:r>
    </w:p>
    <w:p>
      <w:pPr>
        <w:ind w:firstLine="640" w:firstLineChars="200"/>
        <w:outlineLvl w:val="1"/>
        <w:rPr>
          <w:rFonts w:ascii="楷体_GB2312" w:eastAsia="楷体_GB2312"/>
          <w:sz w:val="32"/>
          <w:szCs w:val="32"/>
        </w:rPr>
      </w:pPr>
      <w:r>
        <w:rPr>
          <w:rFonts w:hint="eastAsia" w:ascii="楷体_GB2312" w:eastAsia="楷体_GB2312"/>
          <w:sz w:val="32"/>
          <w:szCs w:val="32"/>
        </w:rPr>
        <w:t>（一）评审工作领导小组</w:t>
      </w:r>
    </w:p>
    <w:p>
      <w:pPr>
        <w:ind w:firstLine="640" w:firstLineChars="200"/>
        <w:rPr>
          <w:rFonts w:ascii="仿宋_GB2312" w:eastAsia="仿宋_GB2312"/>
          <w:sz w:val="32"/>
          <w:szCs w:val="32"/>
        </w:rPr>
      </w:pPr>
      <w:r>
        <w:rPr>
          <w:rFonts w:hint="eastAsia" w:ascii="仿宋_GB2312" w:eastAsia="仿宋_GB2312"/>
          <w:sz w:val="32"/>
          <w:szCs w:val="32"/>
        </w:rPr>
        <w:t>学院成立评审工作领导小组，负责制定研究生国家奖学金评审实施细则，全面负责评审工作。</w:t>
      </w:r>
    </w:p>
    <w:p>
      <w:pPr>
        <w:ind w:firstLine="640" w:firstLineChars="200"/>
        <w:rPr>
          <w:rFonts w:ascii="仿宋_GB2312" w:eastAsia="仿宋_GB2312"/>
          <w:sz w:val="32"/>
          <w:szCs w:val="32"/>
        </w:rPr>
      </w:pPr>
      <w:r>
        <w:rPr>
          <w:rFonts w:hint="eastAsia" w:ascii="仿宋_GB2312" w:eastAsia="仿宋_GB2312"/>
          <w:sz w:val="32"/>
          <w:szCs w:val="32"/>
        </w:rPr>
        <w:t>组长：刘卫军  马 闯</w:t>
      </w:r>
    </w:p>
    <w:p>
      <w:pPr>
        <w:ind w:firstLine="640" w:firstLineChars="200"/>
        <w:rPr>
          <w:rFonts w:ascii="仿宋_GB2312" w:eastAsia="仿宋_GB2312"/>
          <w:sz w:val="32"/>
          <w:szCs w:val="32"/>
        </w:rPr>
      </w:pPr>
      <w:r>
        <w:rPr>
          <w:rFonts w:hint="eastAsia" w:ascii="仿宋_GB2312" w:eastAsia="仿宋_GB2312"/>
          <w:sz w:val="32"/>
          <w:szCs w:val="32"/>
        </w:rPr>
        <w:t>成员：姜在民  林雁冰  马宁  刘林强</w:t>
      </w:r>
    </w:p>
    <w:p>
      <w:pPr>
        <w:ind w:firstLine="640" w:firstLineChars="200"/>
        <w:outlineLvl w:val="1"/>
        <w:rPr>
          <w:rFonts w:ascii="楷体_GB2312" w:eastAsia="楷体_GB2312"/>
          <w:sz w:val="32"/>
          <w:szCs w:val="32"/>
        </w:rPr>
      </w:pPr>
      <w:r>
        <w:rPr>
          <w:rFonts w:hint="eastAsia" w:ascii="楷体_GB2312" w:eastAsia="楷体_GB2312"/>
          <w:sz w:val="32"/>
          <w:szCs w:val="32"/>
        </w:rPr>
        <w:t>（二）评审工作组</w:t>
      </w:r>
    </w:p>
    <w:p>
      <w:pPr>
        <w:ind w:firstLine="640" w:firstLineChars="200"/>
        <w:rPr>
          <w:rFonts w:ascii="仿宋_GB2312" w:eastAsia="仿宋_GB2312"/>
          <w:sz w:val="32"/>
          <w:szCs w:val="32"/>
        </w:rPr>
      </w:pPr>
      <w:r>
        <w:rPr>
          <w:rFonts w:hint="eastAsia" w:ascii="仿宋_GB2312" w:eastAsia="仿宋_GB2312"/>
          <w:sz w:val="32"/>
          <w:szCs w:val="32"/>
        </w:rPr>
        <w:t>学院成立评审工作组</w:t>
      </w:r>
      <w:r>
        <w:rPr>
          <w:rFonts w:hint="eastAsia" w:ascii="仿宋_GB2312" w:hAnsi="宋体" w:eastAsia="仿宋_GB2312"/>
          <w:sz w:val="32"/>
          <w:szCs w:val="32"/>
        </w:rPr>
        <w:t>做好</w:t>
      </w:r>
      <w:r>
        <w:rPr>
          <w:rFonts w:hint="eastAsia" w:ascii="仿宋_GB2312" w:eastAsia="仿宋_GB2312"/>
          <w:sz w:val="32"/>
          <w:szCs w:val="32"/>
        </w:rPr>
        <w:t>研究生国家奖学金的申请组织和评审工作。</w:t>
      </w:r>
    </w:p>
    <w:p>
      <w:pPr>
        <w:ind w:firstLine="640" w:firstLineChars="200"/>
        <w:rPr>
          <w:rFonts w:ascii="仿宋_GB2312" w:eastAsia="仿宋_GB2312"/>
          <w:sz w:val="32"/>
          <w:szCs w:val="32"/>
        </w:rPr>
      </w:pPr>
      <w:r>
        <w:rPr>
          <w:rFonts w:hint="eastAsia" w:ascii="仿宋_GB2312" w:eastAsia="仿宋_GB2312"/>
          <w:sz w:val="32"/>
          <w:szCs w:val="32"/>
        </w:rPr>
        <w:t xml:space="preserve">组  长：刘卫军  </w:t>
      </w:r>
      <w:r>
        <w:rPr>
          <w:rFonts w:hint="eastAsia" w:ascii="仿宋_GB2312" w:hAnsi="宋体" w:eastAsia="仿宋_GB2312" w:cs="Times New Roman"/>
          <w:sz w:val="32"/>
          <w:szCs w:val="32"/>
        </w:rPr>
        <w:t>马  闯</w:t>
      </w:r>
    </w:p>
    <w:p>
      <w:pPr>
        <w:ind w:firstLine="640" w:firstLineChars="200"/>
        <w:rPr>
          <w:rFonts w:hint="eastAsia" w:ascii="仿宋" w:hAnsi="仿宋" w:eastAsia="仿宋" w:cs="仿宋"/>
          <w:sz w:val="32"/>
          <w:szCs w:val="32"/>
          <w:lang w:eastAsia="zh-CN"/>
        </w:rPr>
      </w:pPr>
      <w:r>
        <w:rPr>
          <w:rFonts w:hint="eastAsia" w:ascii="仿宋_GB2312" w:eastAsia="仿宋_GB2312"/>
          <w:sz w:val="32"/>
          <w:szCs w:val="32"/>
        </w:rPr>
        <w:t>成  员：</w:t>
      </w:r>
      <w:r>
        <w:rPr>
          <w:rFonts w:hint="eastAsia" w:ascii="仿宋" w:hAnsi="仿宋" w:eastAsia="仿宋" w:cs="仿宋"/>
          <w:sz w:val="32"/>
          <w:szCs w:val="32"/>
        </w:rPr>
        <w:t xml:space="preserve">韦革宏  </w:t>
      </w:r>
      <w:r>
        <w:rPr>
          <w:rFonts w:hint="eastAsia" w:ascii="仿宋" w:hAnsi="仿宋" w:eastAsia="仿宋" w:cs="仿宋"/>
          <w:sz w:val="32"/>
          <w:szCs w:val="32"/>
          <w:lang w:eastAsia="zh-CN"/>
        </w:rPr>
        <w:t>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飞</w:t>
      </w:r>
      <w:r>
        <w:rPr>
          <w:rFonts w:hint="eastAsia" w:ascii="仿宋" w:hAnsi="仿宋" w:eastAsia="仿宋" w:cs="仿宋"/>
          <w:sz w:val="32"/>
          <w:szCs w:val="32"/>
        </w:rPr>
        <w:t xml:space="preserve">  </w:t>
      </w:r>
      <w:r>
        <w:rPr>
          <w:rFonts w:hint="eastAsia" w:ascii="仿宋" w:hAnsi="仿宋" w:eastAsia="仿宋" w:cs="仿宋"/>
          <w:sz w:val="32"/>
          <w:szCs w:val="32"/>
          <w:lang w:eastAsia="zh-CN"/>
        </w:rPr>
        <w:t>林雁冰</w:t>
      </w:r>
      <w:r>
        <w:rPr>
          <w:rFonts w:hint="eastAsia" w:ascii="仿宋" w:hAnsi="仿宋" w:eastAsia="仿宋" w:cs="仿宋"/>
          <w:sz w:val="32"/>
          <w:szCs w:val="32"/>
        </w:rPr>
        <w:t xml:space="preserve">  沈锡辉  </w:t>
      </w:r>
      <w:r>
        <w:rPr>
          <w:rFonts w:hint="eastAsia" w:ascii="仿宋" w:hAnsi="仿宋" w:eastAsia="仿宋" w:cs="仿宋"/>
          <w:sz w:val="32"/>
          <w:szCs w:val="32"/>
          <w:lang w:eastAsia="zh-CN"/>
        </w:rPr>
        <w:t>陈少林</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rPr>
        <w:t>陈坤明  陈  鹏  赵惠贤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董娟娥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陶士珩</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慕小倩</w:t>
      </w:r>
      <w:r>
        <w:rPr>
          <w:rFonts w:hint="eastAsia" w:ascii="仿宋" w:hAnsi="仿宋" w:eastAsia="仿宋" w:cs="仿宋"/>
          <w:sz w:val="32"/>
          <w:szCs w:val="32"/>
        </w:rPr>
        <w:t xml:space="preserve">  常朝阳  </w:t>
      </w:r>
      <w:r>
        <w:rPr>
          <w:rFonts w:hint="eastAsia" w:ascii="仿宋" w:hAnsi="仿宋" w:eastAsia="仿宋" w:cs="仿宋"/>
          <w:sz w:val="32"/>
          <w:szCs w:val="32"/>
          <w:lang w:eastAsia="zh-CN"/>
        </w:rPr>
        <w:t>陈红英</w:t>
      </w:r>
      <w:r>
        <w:rPr>
          <w:rFonts w:hint="eastAsia" w:ascii="仿宋" w:hAnsi="仿宋" w:eastAsia="仿宋" w:cs="仿宋"/>
          <w:sz w:val="32"/>
          <w:szCs w:val="32"/>
        </w:rPr>
        <w:t xml:space="preserve">  </w:t>
      </w:r>
      <w:r>
        <w:rPr>
          <w:rFonts w:hint="eastAsia" w:ascii="仿宋" w:hAnsi="仿宋" w:eastAsia="仿宋" w:cs="仿宋"/>
          <w:sz w:val="32"/>
          <w:szCs w:val="32"/>
          <w:lang w:eastAsia="zh-CN"/>
        </w:rPr>
        <w:t>赵天永</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马  宁</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秘  书：撒文清  </w:t>
      </w:r>
      <w:r>
        <w:rPr>
          <w:rFonts w:hint="eastAsia" w:ascii="仿宋_GB2312" w:eastAsia="仿宋_GB2312"/>
          <w:sz w:val="32"/>
          <w:szCs w:val="32"/>
          <w:lang w:eastAsia="zh-CN"/>
        </w:rPr>
        <w:t>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悦</w:t>
      </w:r>
    </w:p>
    <w:p>
      <w:pPr>
        <w:ind w:firstLine="640" w:firstLineChars="200"/>
        <w:outlineLvl w:val="0"/>
        <w:rPr>
          <w:rFonts w:ascii="黑体" w:hAnsi="黑体" w:eastAsia="黑体" w:cs="宋体"/>
          <w:kern w:val="0"/>
          <w:sz w:val="32"/>
          <w:szCs w:val="32"/>
        </w:rPr>
      </w:pPr>
      <w:r>
        <w:rPr>
          <w:rFonts w:hint="eastAsia" w:ascii="黑体" w:hAnsi="黑体" w:eastAsia="黑体" w:cs="宋体"/>
          <w:kern w:val="0"/>
          <w:sz w:val="32"/>
          <w:szCs w:val="32"/>
        </w:rPr>
        <w:t>二、评审对象、基本申请条件和参评资格</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（一）评审对象</w:t>
      </w:r>
    </w:p>
    <w:p>
      <w:pPr>
        <w:ind w:firstLine="640" w:firstLineChars="200"/>
        <w:rPr>
          <w:rFonts w:ascii="仿宋_GB2312" w:eastAsia="仿宋_GB2312"/>
          <w:sz w:val="32"/>
          <w:szCs w:val="32"/>
        </w:rPr>
      </w:pPr>
      <w:r>
        <w:rPr>
          <w:rFonts w:hint="eastAsia" w:ascii="仿宋_GB2312" w:eastAsia="仿宋_GB2312"/>
          <w:color w:val="000000"/>
          <w:sz w:val="32"/>
          <w:szCs w:val="32"/>
        </w:rPr>
        <w:t>研究生国家奖学金的评审对象为学院全日制非在职研究生</w:t>
      </w:r>
      <w:r>
        <w:rPr>
          <w:rFonts w:hint="eastAsia" w:ascii="仿宋_GB2312" w:eastAsia="仿宋_GB2312"/>
          <w:sz w:val="32"/>
          <w:szCs w:val="32"/>
        </w:rPr>
        <w:t>。</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（二）基本申请条件</w:t>
      </w:r>
    </w:p>
    <w:p>
      <w:pPr>
        <w:spacing w:line="600" w:lineRule="exact"/>
        <w:ind w:firstLine="641"/>
        <w:rPr>
          <w:rFonts w:ascii="仿宋_GB2312" w:eastAsia="仿宋_GB2312"/>
          <w:sz w:val="32"/>
          <w:szCs w:val="32"/>
        </w:rPr>
      </w:pPr>
      <w:r>
        <w:rPr>
          <w:rFonts w:hint="eastAsia" w:ascii="仿宋_GB2312" w:eastAsia="仿宋_GB2312"/>
          <w:sz w:val="32"/>
          <w:szCs w:val="32"/>
        </w:rPr>
        <w:t>1.具有中华人民共和国国籍，热爱社会主义祖国，拥护中国共产党的领导；</w:t>
      </w:r>
    </w:p>
    <w:p>
      <w:pPr>
        <w:spacing w:line="600" w:lineRule="exact"/>
        <w:ind w:firstLine="641"/>
        <w:rPr>
          <w:rFonts w:ascii="仿宋_GB2312" w:eastAsia="仿宋_GB2312"/>
          <w:sz w:val="32"/>
          <w:szCs w:val="32"/>
        </w:rPr>
      </w:pPr>
      <w:r>
        <w:rPr>
          <w:rFonts w:hint="eastAsia" w:ascii="仿宋_GB2312" w:eastAsia="仿宋_GB2312"/>
          <w:sz w:val="32"/>
          <w:szCs w:val="32"/>
        </w:rPr>
        <w:t>2.遵守宪法和法律，遵守学校规章制度，诚实守信，道德品质优良；</w:t>
      </w:r>
    </w:p>
    <w:p>
      <w:pPr>
        <w:spacing w:line="600" w:lineRule="exact"/>
        <w:ind w:firstLine="641"/>
        <w:rPr>
          <w:rFonts w:ascii="仿宋_GB2312" w:eastAsia="仿宋_GB2312"/>
          <w:sz w:val="32"/>
          <w:szCs w:val="32"/>
        </w:rPr>
      </w:pPr>
      <w:r>
        <w:rPr>
          <w:rFonts w:hint="eastAsia" w:ascii="仿宋_GB2312" w:eastAsia="仿宋_GB2312"/>
          <w:sz w:val="32"/>
          <w:szCs w:val="32"/>
        </w:rPr>
        <w:t>3.学习成绩优异，科研能力或实践能力显著，发展潜力突出；</w:t>
      </w:r>
    </w:p>
    <w:p>
      <w:pPr>
        <w:spacing w:line="600" w:lineRule="exact"/>
        <w:ind w:firstLine="641"/>
        <w:rPr>
          <w:rFonts w:ascii="仿宋_GB2312" w:eastAsia="仿宋_GB2312"/>
          <w:sz w:val="32"/>
          <w:szCs w:val="32"/>
        </w:rPr>
      </w:pPr>
      <w:r>
        <w:rPr>
          <w:rFonts w:hint="eastAsia" w:ascii="仿宋_GB2312" w:eastAsia="仿宋_GB2312"/>
          <w:sz w:val="32"/>
          <w:szCs w:val="32"/>
        </w:rPr>
        <w:t>4.身心健康，积极参加科技创新、社会实践及社会公益活动。</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（三）参评资格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1.研究生在参评学年有下列情况之一者，不具备当年参评资格：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（1）违反国家法律、校纪校规受到纪律处分者；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（2）思想政治品德考核不合格者；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（4）有抄袭剽窃、弄虚作假等学术不端行为经查证属实者；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（5）学籍状态处于休学、保留学籍者。</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2.研究生在基本学制年限内，可多次获得研究生国家奖学金，但获奖成果不可重复申报使用。超出基本学制年限的研究生，不再具备研究生国家奖学金参评资格;</w:t>
      </w:r>
      <w:r>
        <w:rPr>
          <w:rFonts w:ascii="仿宋_GB2312" w:eastAsia="仿宋_GB2312"/>
          <w:sz w:val="32"/>
          <w:szCs w:val="32"/>
        </w:rPr>
        <w:t xml:space="preserve">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3.因国家和学校公派出国联合培养或校际交流且具有我校学籍的研究生，仍具备研究生国家奖学金参评资格；</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4.</w:t>
      </w:r>
      <w:r>
        <w:rPr>
          <w:rFonts w:hint="eastAsia" w:ascii="仿宋_GB2312" w:hAnsi="宋体" w:eastAsia="仿宋_GB2312"/>
          <w:sz w:val="32"/>
          <w:szCs w:val="32"/>
        </w:rPr>
        <w:t>直博生</w:t>
      </w:r>
      <w:r>
        <w:rPr>
          <w:rFonts w:ascii="仿宋_GB2312" w:hAnsi="宋体" w:eastAsia="仿宋_GB2312"/>
          <w:sz w:val="32"/>
          <w:szCs w:val="32"/>
        </w:rPr>
        <w:t>、硕博连读</w:t>
      </w:r>
      <w:r>
        <w:rPr>
          <w:rFonts w:hint="eastAsia" w:ascii="仿宋_GB2312" w:hAnsi="宋体" w:eastAsia="仿宋_GB2312"/>
          <w:sz w:val="32"/>
          <w:szCs w:val="32"/>
        </w:rPr>
        <w:t>研究生</w:t>
      </w:r>
      <w:r>
        <w:rPr>
          <w:rFonts w:ascii="仿宋_GB2312" w:hAnsi="宋体" w:eastAsia="仿宋_GB2312"/>
          <w:sz w:val="32"/>
          <w:szCs w:val="32"/>
        </w:rPr>
        <w:t>第一至第二学年执行学术学位硕士研究生的奖助标准，第三至第五学年执行学术学位</w:t>
      </w:r>
      <w:r>
        <w:rPr>
          <w:rFonts w:hint="eastAsia" w:ascii="仿宋_GB2312" w:hAnsi="宋体" w:eastAsia="仿宋_GB2312"/>
          <w:sz w:val="32"/>
          <w:szCs w:val="32"/>
        </w:rPr>
        <w:t>博士</w:t>
      </w:r>
      <w:r>
        <w:rPr>
          <w:rFonts w:ascii="仿宋_GB2312" w:hAnsi="宋体" w:eastAsia="仿宋_GB2312"/>
          <w:sz w:val="32"/>
          <w:szCs w:val="32"/>
        </w:rPr>
        <w:t>研究生的奖助标准。</w:t>
      </w:r>
      <w:bookmarkStart w:id="0" w:name="_GoBack"/>
      <w:bookmarkEnd w:id="0"/>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三、评审名额分配</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（一）评审名额</w:t>
      </w:r>
    </w:p>
    <w:p>
      <w:pPr>
        <w:ind w:firstLine="640" w:firstLineChars="200"/>
        <w:rPr>
          <w:rFonts w:ascii="仿宋_GB2312" w:eastAsia="仿宋_GB2312"/>
          <w:sz w:val="32"/>
          <w:szCs w:val="32"/>
        </w:rPr>
      </w:pPr>
      <w:r>
        <w:rPr>
          <w:rFonts w:hint="eastAsia" w:ascii="仿宋_GB2312" w:eastAsia="仿宋_GB2312"/>
          <w:sz w:val="32"/>
          <w:szCs w:val="32"/>
        </w:rPr>
        <w:t>研究生国家奖学金每学年评审一次。每学年的名额以学校分配给学院的名额数为准。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（二）名额分配</w:t>
      </w:r>
    </w:p>
    <w:p>
      <w:pPr>
        <w:ind w:firstLine="640" w:firstLineChars="200"/>
        <w:outlineLvl w:val="2"/>
        <w:rPr>
          <w:rFonts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color w:val="000000"/>
          <w:sz w:val="32"/>
          <w:szCs w:val="32"/>
        </w:rPr>
        <w:t>博士研究生的名额分配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博士研究生国家奖学金名额按照当年具有参评资格的人数比例在一年级和高年级间进行分配。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2.硕士研究生的名额分配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（1）硕士研究生国家奖学金名额按照当年具有参评资格的人数比例在一年级和高年级间进行分配。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（2）一年级硕士研究生不区分学术型和专业型两种不同的培养类型，进行统一评定。</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（3）高年级硕士研究生按照当年具有参评资格的人数比例在学术型研究生和专业型研究生间进行名额分配。按比例计算出的专业型硕士研究生名额不足1人时，按1人计。</w:t>
      </w:r>
    </w:p>
    <w:p>
      <w:pPr>
        <w:ind w:firstLine="640" w:firstLineChars="200"/>
        <w:rPr>
          <w:rFonts w:ascii="仿宋_GB2312" w:eastAsia="仿宋_GB2312"/>
          <w:sz w:val="32"/>
          <w:szCs w:val="32"/>
        </w:rPr>
      </w:pPr>
      <w:r>
        <w:rPr>
          <w:rFonts w:hint="eastAsia" w:ascii="仿宋_GB2312" w:eastAsia="仿宋_GB2312"/>
          <w:color w:val="000000"/>
          <w:sz w:val="32"/>
          <w:szCs w:val="32"/>
        </w:rPr>
        <w:t>3.同一类别内，一个学科点获得国家奖学金的人数不得超过名额数</w:t>
      </w:r>
      <w:r>
        <w:rPr>
          <w:rFonts w:hint="eastAsia" w:ascii="仿宋_GB2312" w:eastAsia="仿宋_GB2312"/>
          <w:sz w:val="32"/>
          <w:szCs w:val="32"/>
        </w:rPr>
        <w:t>的30%，</w:t>
      </w:r>
      <w:r>
        <w:rPr>
          <w:rFonts w:ascii="仿宋_GB2312" w:eastAsia="仿宋_GB2312"/>
          <w:sz w:val="32"/>
          <w:szCs w:val="32"/>
        </w:rPr>
        <w:t>不足1</w:t>
      </w:r>
      <w:r>
        <w:rPr>
          <w:rFonts w:hint="eastAsia" w:ascii="仿宋_GB2312" w:eastAsia="仿宋_GB2312"/>
          <w:sz w:val="32"/>
          <w:szCs w:val="32"/>
        </w:rPr>
        <w:t>人</w:t>
      </w:r>
      <w:r>
        <w:rPr>
          <w:rFonts w:ascii="仿宋_GB2312" w:eastAsia="仿宋_GB2312"/>
          <w:sz w:val="32"/>
          <w:szCs w:val="32"/>
        </w:rPr>
        <w:t>时</w:t>
      </w:r>
      <w:r>
        <w:rPr>
          <w:rFonts w:hint="eastAsia" w:ascii="仿宋_GB2312" w:eastAsia="仿宋_GB2312"/>
          <w:sz w:val="32"/>
          <w:szCs w:val="32"/>
        </w:rPr>
        <w:t>，</w:t>
      </w:r>
      <w:r>
        <w:rPr>
          <w:rFonts w:ascii="仿宋_GB2312" w:eastAsia="仿宋_GB2312"/>
          <w:sz w:val="32"/>
          <w:szCs w:val="32"/>
        </w:rPr>
        <w:t>按</w:t>
      </w:r>
      <w:r>
        <w:rPr>
          <w:rFonts w:hint="eastAsia" w:ascii="仿宋_GB2312" w:eastAsia="仿宋_GB2312"/>
          <w:sz w:val="32"/>
          <w:szCs w:val="32"/>
        </w:rPr>
        <w:t>1人</w:t>
      </w:r>
      <w:r>
        <w:rPr>
          <w:rFonts w:ascii="仿宋_GB2312" w:eastAsia="仿宋_GB2312"/>
          <w:sz w:val="32"/>
          <w:szCs w:val="32"/>
        </w:rPr>
        <w:t>计</w:t>
      </w:r>
      <w:r>
        <w:rPr>
          <w:rFonts w:hint="eastAsia" w:ascii="仿宋_GB2312" w:eastAsia="仿宋_GB2312"/>
          <w:sz w:val="32"/>
          <w:szCs w:val="32"/>
        </w:rPr>
        <w:t>。</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四、指标体系</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（一）高年级硕士研究生和高年级博士研究生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核算成绩</w:t>
      </w:r>
      <w:r>
        <w:rPr>
          <w:rFonts w:hint="eastAsia" w:ascii="仿宋_GB2312" w:hAnsi="仿宋_GB2312" w:eastAsia="仿宋_GB2312"/>
          <w:color w:val="000000"/>
          <w:sz w:val="32"/>
          <w:szCs w:val="32"/>
        </w:rPr>
        <w:t>=</w:t>
      </w:r>
      <w:r>
        <w:rPr>
          <w:rFonts w:hint="eastAsia" w:ascii="仿宋_GB2312" w:eastAsia="仿宋_GB2312"/>
          <w:color w:val="000000"/>
          <w:sz w:val="32"/>
          <w:szCs w:val="32"/>
        </w:rPr>
        <w:t>综合素质+学业成绩+科研成绩+附加分。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1.综合素质（满分为10分）</w:t>
      </w:r>
    </w:p>
    <w:p>
      <w:pPr>
        <w:ind w:firstLine="640" w:firstLineChars="200"/>
        <w:rPr>
          <w:rFonts w:ascii="仿宋_GB2312" w:hAnsi="宋体" w:eastAsia="仿宋_GB2312"/>
          <w:sz w:val="32"/>
          <w:szCs w:val="32"/>
        </w:rPr>
      </w:pPr>
      <w:r>
        <w:rPr>
          <w:rFonts w:hint="eastAsia" w:ascii="仿宋_GB2312" w:hAnsi="宋体" w:eastAsia="仿宋_GB2312"/>
          <w:sz w:val="32"/>
          <w:szCs w:val="32"/>
        </w:rPr>
        <w:t>（1）思想政治品德：由研究生导师根据学生热爱社会主义祖国，拥护中国共产党的领导；遵守宪法和法律；遵守学校规章制度；诚实守信，道德品质优良，学术作风端正等情况进行综合打分，满分5分。</w:t>
      </w:r>
    </w:p>
    <w:p>
      <w:pPr>
        <w:ind w:firstLine="640" w:firstLineChars="200"/>
        <w:rPr>
          <w:rFonts w:ascii="仿宋_GB2312" w:hAnsi="宋体" w:eastAsia="仿宋_GB2312"/>
          <w:sz w:val="32"/>
          <w:szCs w:val="32"/>
        </w:rPr>
      </w:pPr>
      <w:r>
        <w:rPr>
          <w:rFonts w:hint="eastAsia" w:ascii="仿宋_GB2312" w:hAnsi="宋体" w:eastAsia="仿宋_GB2312"/>
          <w:sz w:val="32"/>
          <w:szCs w:val="32"/>
        </w:rPr>
        <w:t>（2）劳育：由研究生导师根据学生</w:t>
      </w:r>
      <w:r>
        <w:rPr>
          <w:rFonts w:ascii="仿宋_GB2312" w:hAnsi="宋体" w:eastAsia="仿宋_GB2312"/>
          <w:sz w:val="32"/>
          <w:szCs w:val="32"/>
        </w:rPr>
        <w:t>的劳动观和劳动态度</w:t>
      </w:r>
      <w:r>
        <w:rPr>
          <w:rFonts w:hint="eastAsia" w:ascii="仿宋_GB2312" w:hAnsi="宋体" w:eastAsia="仿宋_GB2312"/>
          <w:sz w:val="32"/>
          <w:szCs w:val="32"/>
        </w:rPr>
        <w:t>，以及是否崇尚劳动、尊重劳动，</w:t>
      </w:r>
      <w:r>
        <w:rPr>
          <w:rFonts w:ascii="仿宋_GB2312" w:hAnsi="宋体" w:eastAsia="仿宋_GB2312"/>
          <w:sz w:val="32"/>
          <w:szCs w:val="32"/>
        </w:rPr>
        <w:t>养成劳动习惯</w:t>
      </w:r>
      <w:r>
        <w:rPr>
          <w:rFonts w:hint="eastAsia" w:ascii="仿宋_GB2312" w:hAnsi="宋体" w:eastAsia="仿宋_GB2312"/>
          <w:sz w:val="32"/>
          <w:szCs w:val="32"/>
        </w:rPr>
        <w:t>；遵守实验室管理制度，按时完成导师交办的任务等情况进行综合打分，满分3分。</w:t>
      </w:r>
    </w:p>
    <w:p>
      <w:pPr>
        <w:ind w:firstLine="640" w:firstLineChars="200"/>
        <w:rPr>
          <w:rFonts w:ascii="仿宋_GB2312" w:hAnsi="宋体" w:eastAsia="仿宋_GB2312"/>
          <w:sz w:val="32"/>
          <w:szCs w:val="32"/>
        </w:rPr>
      </w:pPr>
      <w:r>
        <w:rPr>
          <w:rFonts w:hint="eastAsia" w:ascii="仿宋_GB2312" w:hAnsi="宋体" w:eastAsia="仿宋_GB2312"/>
          <w:sz w:val="32"/>
          <w:szCs w:val="32"/>
        </w:rPr>
        <w:t>（3）获得校级以上（含校级）优秀研究生、优秀研究生干部、优秀党员、优秀团干部、优秀团员等荣誉者（仅限硕士或博士研究生在读期间所获荣誉，以表彰文件或证书为准）每项加0.3分，可累计加分，满分2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2.学业成绩（满分为30分）</w:t>
      </w:r>
    </w:p>
    <w:p>
      <w:pPr>
        <w:ind w:firstLine="640" w:firstLineChars="200"/>
        <w:rPr>
          <w:rFonts w:ascii="仿宋_GB2312" w:hAnsi="宋体" w:eastAsia="仿宋_GB2312"/>
          <w:sz w:val="32"/>
          <w:szCs w:val="32"/>
        </w:rPr>
      </w:pPr>
      <w:r>
        <w:rPr>
          <w:rFonts w:hint="eastAsia" w:ascii="仿宋_GB2312" w:hAnsi="宋体" w:eastAsia="仿宋_GB2312"/>
          <w:sz w:val="32"/>
          <w:szCs w:val="32"/>
        </w:rPr>
        <w:t>学业成绩=学位课加权平均分×30%。</w:t>
      </w:r>
    </w:p>
    <w:p>
      <w:pPr>
        <w:ind w:firstLine="640" w:firstLineChars="200"/>
        <w:outlineLvl w:val="2"/>
        <w:rPr>
          <w:rFonts w:ascii="仿宋_GB2312" w:eastAsia="仿宋_GB2312"/>
          <w:color w:val="000000"/>
          <w:sz w:val="32"/>
          <w:szCs w:val="32"/>
        </w:rPr>
      </w:pPr>
      <w:r>
        <w:rPr>
          <w:rFonts w:hint="eastAsia" w:ascii="仿宋_GB2312" w:hAnsi="宋体" w:eastAsia="仿宋_GB2312"/>
          <w:sz w:val="32"/>
          <w:szCs w:val="32"/>
        </w:rPr>
        <w:t>由研究生</w:t>
      </w:r>
      <w:r>
        <w:rPr>
          <w:rFonts w:hint="eastAsia" w:ascii="仿宋_GB2312" w:eastAsia="仿宋_GB2312"/>
          <w:color w:val="000000"/>
          <w:sz w:val="32"/>
          <w:szCs w:val="32"/>
        </w:rPr>
        <w:t>办公室开具申请人学业成绩证明。</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3.科研业绩（满分为60分）</w:t>
      </w:r>
    </w:p>
    <w:p>
      <w:pPr>
        <w:ind w:firstLine="640" w:firstLineChars="200"/>
        <w:outlineLvl w:val="2"/>
        <w:rPr>
          <w:rFonts w:ascii="仿宋_GB2312" w:hAnsi="宋体" w:eastAsia="仿宋_GB2312"/>
          <w:sz w:val="32"/>
          <w:szCs w:val="32"/>
        </w:rPr>
      </w:pPr>
      <w:r>
        <w:rPr>
          <w:rFonts w:hint="eastAsia" w:ascii="仿宋_GB2312" w:eastAsia="仿宋_GB2312"/>
          <w:color w:val="000000"/>
          <w:sz w:val="32"/>
          <w:szCs w:val="32"/>
        </w:rPr>
        <w:t>申请人所提交申请材料的认定时间范</w:t>
      </w:r>
      <w:r>
        <w:rPr>
          <w:rFonts w:hint="eastAsia" w:ascii="仿宋_GB2312" w:hAnsi="宋体" w:eastAsia="仿宋_GB2312"/>
          <w:sz w:val="32"/>
          <w:szCs w:val="32"/>
        </w:rPr>
        <w:t>围为自入学注册之日起到评奖材料提交之日止。申请人所提交的申请材料必须与申请人研究方向一致。</w:t>
      </w:r>
    </w:p>
    <w:p>
      <w:pPr>
        <w:ind w:firstLine="640" w:firstLineChars="200"/>
        <w:outlineLvl w:val="2"/>
        <w:rPr>
          <w:rFonts w:ascii="仿宋_GB2312" w:hAnsi="宋体" w:eastAsia="仿宋_GB2312"/>
          <w:sz w:val="32"/>
          <w:szCs w:val="32"/>
        </w:rPr>
      </w:pPr>
      <w:r>
        <w:rPr>
          <w:rFonts w:hint="eastAsia" w:ascii="仿宋_GB2312" w:hAnsi="宋体" w:eastAsia="仿宋_GB2312"/>
          <w:sz w:val="32"/>
          <w:szCs w:val="32"/>
        </w:rPr>
        <w:t>（1）科研论文</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在Nature、Science、Cell主刊以第一作者或并列第一作者全文发表学术论文者，在满足基本申请条件和参评资格要求时，直接评定为申请当年的国家奖学金获得者，不占用其所属评审类别的名额。</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科研论文加分细则：</w:t>
      </w:r>
    </w:p>
    <w:tbl>
      <w:tblPr>
        <w:tblStyle w:val="11"/>
        <w:tblpPr w:leftFromText="180" w:rightFromText="180" w:vertAnchor="text" w:horzAnchor="margin" w:tblpY="577"/>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3118"/>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 w:hRule="atLeast"/>
        </w:trPr>
        <w:tc>
          <w:tcPr>
            <w:tcW w:w="2093" w:type="dxa"/>
            <w:vAlign w:val="center"/>
          </w:tcPr>
          <w:p>
            <w:pPr>
              <w:widowControl/>
              <w:tabs>
                <w:tab w:val="left" w:pos="0"/>
              </w:tabs>
              <w:jc w:val="center"/>
              <w:rPr>
                <w:rFonts w:asciiTheme="minorEastAsia" w:hAnsiTheme="minorEastAsia" w:eastAsiaTheme="minorEastAsia"/>
                <w:sz w:val="24"/>
                <w:szCs w:val="28"/>
              </w:rPr>
            </w:pPr>
            <w:r>
              <w:rPr>
                <w:rFonts w:hint="eastAsia" w:cs="宋体" w:asciiTheme="minorEastAsia" w:hAnsiTheme="minorEastAsia" w:eastAsiaTheme="minorEastAsia"/>
                <w:sz w:val="24"/>
                <w:szCs w:val="28"/>
              </w:rPr>
              <w:t>发表刊物</w:t>
            </w:r>
          </w:p>
        </w:tc>
        <w:tc>
          <w:tcPr>
            <w:tcW w:w="1276" w:type="dxa"/>
            <w:vAlign w:val="center"/>
          </w:tcPr>
          <w:p>
            <w:pPr>
              <w:widowControl/>
              <w:tabs>
                <w:tab w:val="left" w:pos="0"/>
              </w:tabs>
              <w:jc w:val="center"/>
              <w:rPr>
                <w:rFonts w:asciiTheme="minorEastAsia" w:hAnsiTheme="minorEastAsia" w:eastAsiaTheme="minorEastAsia"/>
                <w:sz w:val="24"/>
                <w:szCs w:val="28"/>
              </w:rPr>
            </w:pPr>
            <w:r>
              <w:rPr>
                <w:rFonts w:hint="eastAsia" w:cs="宋体" w:asciiTheme="minorEastAsia" w:hAnsiTheme="minorEastAsia" w:eastAsiaTheme="minorEastAsia"/>
                <w:sz w:val="24"/>
                <w:szCs w:val="28"/>
              </w:rPr>
              <w:t>唯一第一作者得分</w:t>
            </w:r>
          </w:p>
        </w:tc>
        <w:tc>
          <w:tcPr>
            <w:tcW w:w="3118" w:type="dxa"/>
            <w:vAlign w:val="center"/>
          </w:tcPr>
          <w:p>
            <w:pPr>
              <w:widowControl/>
              <w:tabs>
                <w:tab w:val="left" w:pos="0"/>
              </w:tabs>
              <w:jc w:val="center"/>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计分说明</w:t>
            </w:r>
          </w:p>
        </w:tc>
        <w:tc>
          <w:tcPr>
            <w:tcW w:w="3119" w:type="dxa"/>
            <w:vAlign w:val="center"/>
          </w:tcPr>
          <w:p>
            <w:pPr>
              <w:widowControl/>
              <w:tabs>
                <w:tab w:val="left" w:pos="0"/>
              </w:tabs>
              <w:jc w:val="center"/>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7"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双一流学科群A类期刊论文</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60</w:t>
            </w:r>
          </w:p>
        </w:tc>
        <w:tc>
          <w:tcPr>
            <w:tcW w:w="3118" w:type="dxa"/>
            <w:vMerge w:val="restart"/>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1.论文没有并列第一作者时，论文第二作者以唯一第一作者得分的20%计分，第三作者以唯一第一作者得分的10%计分，第四及以后作者以唯一第一作者的5%计分。</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2.论文有两位并列第一作者时，作者按照排名分别以唯一第一作者的60%和40%、10%、5%计分；有三位并列第一作者时，作者按照排名分别以唯一第一作者的50%、30%、20%、5%计分；有四位并列第一作者时，作者按照排名分别以唯一第一作者的40%、30%、15%、15%计分；有超过四位并列第一作者时，按照有四位并列第一作者时计分。第四以后作者以唯一第一作者的5%计分。</w:t>
            </w:r>
          </w:p>
        </w:tc>
        <w:tc>
          <w:tcPr>
            <w:tcW w:w="3119" w:type="dxa"/>
            <w:vMerge w:val="restart"/>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1.科研论文认定范围为：双一流学科群A类、B类期刊论文；SCI收录论文；EI收录论文；学校认定的国内A类学术期刊论文。</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其中，双一流学科群A类、B类期刊论文要求申请人须为论文前六位作者；SCI收录论文要求申请人须为论文前四位作者；EI及其他论文要求申请人须为论文第一作者。</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2.科研论文需正式发表或可网上在线（online）查询，需提供检索证明或网上在线全文打印件，经导师签字认定。</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3.科研论文必须以西北农林科技大学为第一署名单位。申请人导师须为论文的通讯作者之一。</w:t>
            </w:r>
          </w:p>
          <w:p>
            <w:pPr>
              <w:widowControl/>
              <w:shd w:val="clear" w:color="auto" w:fill="FFFFFF"/>
              <w:spacing w:line="360" w:lineRule="auto"/>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9"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双一流学科群B类期刊论文</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30</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6"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SCI收录论文（中科院一区（大类））</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20</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60"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SCI收录论文（中科院二区（大类））</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10</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SCI收录论文（其他）</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5"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EI收录论文</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6" w:hRule="atLeast"/>
        </w:trPr>
        <w:tc>
          <w:tcPr>
            <w:tcW w:w="2093"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学校认定的国内A类学术期刊论文</w:t>
            </w:r>
          </w:p>
        </w:tc>
        <w:tc>
          <w:tcPr>
            <w:tcW w:w="1276"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3118" w:type="dxa"/>
            <w:vMerge w:val="continue"/>
          </w:tcPr>
          <w:p>
            <w:pPr>
              <w:widowControl/>
              <w:shd w:val="clear" w:color="auto" w:fill="FFFFFF"/>
              <w:ind w:firstLine="480" w:firstLineChars="200"/>
              <w:rPr>
                <w:rFonts w:asciiTheme="minorEastAsia" w:hAnsiTheme="minorEastAsia" w:eastAsiaTheme="minorEastAsia"/>
                <w:sz w:val="24"/>
                <w:szCs w:val="28"/>
              </w:rPr>
            </w:pPr>
          </w:p>
        </w:tc>
        <w:tc>
          <w:tcPr>
            <w:tcW w:w="3119" w:type="dxa"/>
            <w:vMerge w:val="continue"/>
          </w:tcPr>
          <w:p>
            <w:pPr>
              <w:widowControl/>
              <w:shd w:val="clear" w:color="auto" w:fill="FFFFFF"/>
              <w:ind w:firstLine="480" w:firstLineChars="200"/>
              <w:rPr>
                <w:rFonts w:asciiTheme="minorEastAsia" w:hAnsiTheme="minorEastAsia" w:eastAsiaTheme="minorEastAsia"/>
                <w:sz w:val="24"/>
                <w:szCs w:val="28"/>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（2）发明专利</w:t>
      </w:r>
    </w:p>
    <w:tbl>
      <w:tblPr>
        <w:tblStyle w:val="11"/>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2017"/>
        <w:gridCol w:w="3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作者排名顺序</w:t>
            </w:r>
          </w:p>
        </w:tc>
        <w:tc>
          <w:tcPr>
            <w:tcW w:w="2017"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3803"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第一名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10</w:t>
            </w:r>
          </w:p>
        </w:tc>
        <w:tc>
          <w:tcPr>
            <w:tcW w:w="3803" w:type="dxa"/>
            <w:vMerge w:val="restart"/>
            <w:vAlign w:val="center"/>
          </w:tcPr>
          <w:p>
            <w:pPr>
              <w:widowControl/>
              <w:shd w:val="clear" w:color="auto" w:fill="FFFFFF"/>
              <w:spacing w:line="360" w:lineRule="auto"/>
              <w:rPr>
                <w:rFonts w:ascii="宋体" w:hAnsi="宋体"/>
                <w:sz w:val="24"/>
                <w:szCs w:val="24"/>
              </w:rPr>
            </w:pPr>
            <w:r>
              <w:rPr>
                <w:rFonts w:hint="eastAsia" w:ascii="宋体" w:hAnsi="宋体"/>
                <w:sz w:val="24"/>
                <w:szCs w:val="24"/>
              </w:rPr>
              <w:t>获批专利权人须为西北农林科技大学的国家发明专利者。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第二名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4</w:t>
            </w:r>
          </w:p>
        </w:tc>
        <w:tc>
          <w:tcPr>
            <w:tcW w:w="3803" w:type="dxa"/>
            <w:vMerge w:val="continue"/>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第三名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3803" w:type="dxa"/>
            <w:vMerge w:val="continue"/>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（3）科研成果</w:t>
      </w:r>
    </w:p>
    <w:tbl>
      <w:tblPr>
        <w:tblStyle w:val="11"/>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618"/>
        <w:gridCol w:w="1843"/>
        <w:gridCol w:w="164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tcPr>
          <w:p>
            <w:pPr>
              <w:widowControl/>
              <w:tabs>
                <w:tab w:val="left" w:pos="0"/>
              </w:tabs>
              <w:jc w:val="center"/>
              <w:rPr>
                <w:rFonts w:ascii="黑体" w:hAnsi="黑体" w:eastAsia="黑体" w:cs="宋体"/>
                <w:sz w:val="28"/>
              </w:rPr>
            </w:pPr>
            <w:r>
              <w:rPr>
                <w:rFonts w:hint="eastAsia" w:ascii="黑体" w:hAnsi="黑体" w:eastAsia="黑体" w:cs="宋体"/>
                <w:sz w:val="28"/>
              </w:rPr>
              <w:t>成果级别</w:t>
            </w:r>
          </w:p>
        </w:tc>
        <w:tc>
          <w:tcPr>
            <w:tcW w:w="1618" w:type="dxa"/>
          </w:tcPr>
          <w:p>
            <w:pPr>
              <w:widowControl/>
              <w:tabs>
                <w:tab w:val="left" w:pos="0"/>
              </w:tabs>
              <w:jc w:val="center"/>
              <w:rPr>
                <w:rFonts w:ascii="黑体" w:hAnsi="黑体" w:eastAsia="黑体" w:cs="宋体"/>
                <w:sz w:val="28"/>
              </w:rPr>
            </w:pPr>
            <w:r>
              <w:rPr>
                <w:rFonts w:hint="eastAsia" w:ascii="黑体" w:hAnsi="黑体" w:eastAsia="黑体" w:cs="宋体"/>
                <w:sz w:val="28"/>
              </w:rPr>
              <w:t>获奖等级</w:t>
            </w:r>
          </w:p>
        </w:tc>
        <w:tc>
          <w:tcPr>
            <w:tcW w:w="1843" w:type="dxa"/>
          </w:tcPr>
          <w:p>
            <w:pPr>
              <w:widowControl/>
              <w:tabs>
                <w:tab w:val="left" w:pos="0"/>
              </w:tabs>
              <w:jc w:val="center"/>
              <w:rPr>
                <w:rFonts w:ascii="黑体" w:hAnsi="黑体" w:eastAsia="黑体" w:cs="宋体"/>
                <w:sz w:val="28"/>
              </w:rPr>
            </w:pPr>
            <w:r>
              <w:rPr>
                <w:rFonts w:hint="eastAsia" w:ascii="黑体" w:hAnsi="黑体" w:eastAsia="黑体" w:cs="宋体"/>
                <w:sz w:val="28"/>
              </w:rPr>
              <w:t>作者排名顺序</w:t>
            </w:r>
          </w:p>
        </w:tc>
        <w:tc>
          <w:tcPr>
            <w:tcW w:w="1642" w:type="dxa"/>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c>
          <w:tcPr>
            <w:tcW w:w="1985" w:type="dxa"/>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国家级</w:t>
            </w:r>
          </w:p>
        </w:tc>
        <w:tc>
          <w:tcPr>
            <w:tcW w:w="1618" w:type="dxa"/>
            <w:vMerge w:val="restart"/>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一等奖</w:t>
            </w:r>
          </w:p>
        </w:tc>
        <w:tc>
          <w:tcPr>
            <w:tcW w:w="1843" w:type="dxa"/>
            <w:vAlign w:val="center"/>
          </w:tcPr>
          <w:p>
            <w:pPr>
              <w:widowControl/>
              <w:jc w:val="center"/>
              <w:rPr>
                <w:rFonts w:ascii="宋体" w:hAnsi="宋体" w:cs="宋体"/>
                <w:sz w:val="24"/>
                <w:szCs w:val="24"/>
              </w:rPr>
            </w:pPr>
            <w:r>
              <w:rPr>
                <w:rFonts w:hint="eastAsia" w:ascii="宋体" w:hAnsi="宋体" w:cs="宋体"/>
                <w:sz w:val="24"/>
                <w:szCs w:val="24"/>
              </w:rPr>
              <w:t>1-6</w:t>
            </w: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60</w:t>
            </w:r>
          </w:p>
        </w:tc>
        <w:tc>
          <w:tcPr>
            <w:tcW w:w="1985" w:type="dxa"/>
            <w:vMerge w:val="restart"/>
            <w:vAlign w:val="center"/>
          </w:tcPr>
          <w:p>
            <w:pPr>
              <w:widowControl/>
              <w:shd w:val="clear" w:color="auto" w:fill="FFFFFF"/>
              <w:spacing w:line="360" w:lineRule="auto"/>
              <w:jc w:val="left"/>
              <w:rPr>
                <w:rFonts w:ascii="宋体" w:hAnsi="宋体" w:cs="宋体"/>
                <w:sz w:val="24"/>
                <w:szCs w:val="24"/>
              </w:rPr>
            </w:pPr>
            <w:r>
              <w:rPr>
                <w:rFonts w:hint="eastAsia" w:ascii="宋体" w:hAnsi="宋体"/>
                <w:sz w:val="24"/>
                <w:szCs w:val="24"/>
              </w:rPr>
              <w:t>参与评定的科研成果，西北农林科技大学须为第一完成单位。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184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7-9</w:t>
            </w: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40</w:t>
            </w:r>
          </w:p>
        </w:tc>
        <w:tc>
          <w:tcPr>
            <w:tcW w:w="1985" w:type="dxa"/>
            <w:vMerge w:val="continue"/>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二等奖</w:t>
            </w:r>
          </w:p>
        </w:tc>
        <w:tc>
          <w:tcPr>
            <w:tcW w:w="184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1-6</w:t>
            </w: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20</w:t>
            </w:r>
          </w:p>
        </w:tc>
        <w:tc>
          <w:tcPr>
            <w:tcW w:w="1985" w:type="dxa"/>
            <w:vMerge w:val="continue"/>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省部级</w:t>
            </w: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一等奖</w:t>
            </w:r>
          </w:p>
        </w:tc>
        <w:tc>
          <w:tcPr>
            <w:tcW w:w="1843" w:type="dxa"/>
            <w:vAlign w:val="center"/>
          </w:tcPr>
          <w:p>
            <w:pPr>
              <w:widowControl/>
              <w:jc w:val="center"/>
              <w:rPr>
                <w:rFonts w:ascii="宋体" w:hAnsi="宋体" w:cs="宋体"/>
                <w:sz w:val="24"/>
                <w:szCs w:val="24"/>
              </w:rPr>
            </w:pPr>
            <w:r>
              <w:rPr>
                <w:rFonts w:hint="eastAsia" w:ascii="宋体" w:hAnsi="宋体" w:cs="宋体"/>
                <w:sz w:val="24"/>
                <w:szCs w:val="24"/>
              </w:rPr>
              <w:t>1-5</w:t>
            </w:r>
          </w:p>
        </w:tc>
        <w:tc>
          <w:tcPr>
            <w:tcW w:w="1642" w:type="dxa"/>
            <w:vAlign w:val="center"/>
          </w:tcPr>
          <w:p>
            <w:pPr>
              <w:widowControl/>
              <w:jc w:val="center"/>
              <w:rPr>
                <w:rFonts w:ascii="宋体" w:hAnsi="宋体" w:cs="宋体"/>
                <w:sz w:val="24"/>
                <w:szCs w:val="24"/>
              </w:rPr>
            </w:pPr>
            <w:r>
              <w:rPr>
                <w:rFonts w:hint="eastAsia" w:ascii="宋体" w:hAnsi="宋体" w:cs="宋体"/>
                <w:sz w:val="24"/>
                <w:szCs w:val="24"/>
              </w:rPr>
              <w:t>20</w:t>
            </w:r>
          </w:p>
        </w:tc>
        <w:tc>
          <w:tcPr>
            <w:tcW w:w="1985" w:type="dxa"/>
            <w:vMerge w:val="continue"/>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二等奖</w:t>
            </w:r>
          </w:p>
        </w:tc>
        <w:tc>
          <w:tcPr>
            <w:tcW w:w="1843" w:type="dxa"/>
            <w:vAlign w:val="center"/>
          </w:tcPr>
          <w:p>
            <w:pPr>
              <w:widowControl/>
              <w:jc w:val="center"/>
              <w:rPr>
                <w:rFonts w:ascii="宋体" w:hAnsi="宋体" w:cs="宋体"/>
                <w:sz w:val="24"/>
                <w:szCs w:val="24"/>
              </w:rPr>
            </w:pPr>
            <w:r>
              <w:rPr>
                <w:rFonts w:hint="eastAsia" w:ascii="宋体" w:hAnsi="宋体" w:cs="宋体"/>
                <w:sz w:val="24"/>
                <w:szCs w:val="24"/>
              </w:rPr>
              <w:t>1-3</w:t>
            </w:r>
          </w:p>
        </w:tc>
        <w:tc>
          <w:tcPr>
            <w:tcW w:w="1642" w:type="dxa"/>
            <w:vAlign w:val="center"/>
          </w:tcPr>
          <w:p>
            <w:pPr>
              <w:widowControl/>
              <w:jc w:val="center"/>
              <w:rPr>
                <w:rFonts w:ascii="宋体" w:hAnsi="宋体" w:cs="宋体"/>
                <w:sz w:val="24"/>
                <w:szCs w:val="24"/>
              </w:rPr>
            </w:pPr>
            <w:r>
              <w:rPr>
                <w:rFonts w:hint="eastAsia" w:ascii="宋体" w:hAnsi="宋体" w:cs="宋体"/>
                <w:sz w:val="24"/>
                <w:szCs w:val="24"/>
              </w:rPr>
              <w:t>10</w:t>
            </w:r>
          </w:p>
        </w:tc>
        <w:tc>
          <w:tcPr>
            <w:tcW w:w="1985" w:type="dxa"/>
            <w:vMerge w:val="continue"/>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三等奖</w:t>
            </w:r>
          </w:p>
        </w:tc>
        <w:tc>
          <w:tcPr>
            <w:tcW w:w="1843"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1642" w:type="dxa"/>
            <w:vAlign w:val="center"/>
          </w:tcPr>
          <w:p>
            <w:pPr>
              <w:widowControl/>
              <w:jc w:val="center"/>
              <w:rPr>
                <w:rFonts w:ascii="宋体" w:hAnsi="宋体" w:cs="宋体"/>
                <w:sz w:val="24"/>
                <w:szCs w:val="24"/>
              </w:rPr>
            </w:pPr>
            <w:r>
              <w:rPr>
                <w:rFonts w:hint="eastAsia" w:ascii="宋体" w:hAnsi="宋体" w:cs="宋体"/>
                <w:sz w:val="24"/>
                <w:szCs w:val="24"/>
              </w:rPr>
              <w:t>4</w:t>
            </w:r>
          </w:p>
        </w:tc>
        <w:tc>
          <w:tcPr>
            <w:tcW w:w="1985" w:type="dxa"/>
            <w:vMerge w:val="continue"/>
          </w:tcPr>
          <w:p>
            <w:pPr>
              <w:widowControl/>
              <w:adjustRightInd w:val="0"/>
              <w:snapToGrid w:val="0"/>
              <w:spacing w:before="100" w:beforeAutospacing="1" w:after="100" w:afterAutospacing="1"/>
              <w:contextualSpacing/>
              <w:jc w:val="center"/>
              <w:rPr>
                <w:rFonts w:ascii="宋体" w:hAnsi="宋体" w:cs="宋体"/>
                <w:sz w:val="28"/>
              </w:rPr>
            </w:pPr>
          </w:p>
        </w:tc>
      </w:tr>
    </w:tbl>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以上所有参评科研成果加分按照就高不就低原则执行，不重复加分。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4.附加分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（1）通过大学英语六级考试者加5分，参加托福、雅思、GRE考试，成绩分别达到90分（含）、6.5分（含）、310分（含）以上者，加10分。按照就高不就低的原则加分，不重复加分。</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黑体" w:hAnsi="黑体" w:eastAsia="黑体" w:cs="宋体"/>
                <w:sz w:val="28"/>
              </w:rPr>
            </w:pPr>
            <w:r>
              <w:rPr>
                <w:rFonts w:hint="eastAsia" w:ascii="黑体" w:hAnsi="黑体" w:eastAsia="黑体" w:cs="宋体"/>
                <w:sz w:val="28"/>
              </w:rPr>
              <w:t>获奖等级</w:t>
            </w:r>
          </w:p>
        </w:tc>
        <w:tc>
          <w:tcPr>
            <w:tcW w:w="2849" w:type="dxa"/>
          </w:tcPr>
          <w:p>
            <w:pPr>
              <w:widowControl/>
              <w:tabs>
                <w:tab w:val="left" w:pos="0"/>
              </w:tabs>
              <w:jc w:val="center"/>
              <w:rPr>
                <w:rFonts w:ascii="黑体" w:hAnsi="黑体" w:eastAsia="黑体" w:cs="宋体"/>
                <w:sz w:val="28"/>
              </w:rPr>
            </w:pPr>
            <w:r>
              <w:rPr>
                <w:rFonts w:hint="eastAsia" w:ascii="黑体" w:hAnsi="黑体" w:eastAsia="黑体" w:cs="宋体"/>
                <w:sz w:val="28"/>
              </w:rPr>
              <w:t>排名顺序</w:t>
            </w:r>
          </w:p>
        </w:tc>
        <w:tc>
          <w:tcPr>
            <w:tcW w:w="2603" w:type="dxa"/>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特等奖</w:t>
            </w:r>
          </w:p>
        </w:tc>
        <w:tc>
          <w:tcPr>
            <w:tcW w:w="2849"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3</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一等奖（金奖）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二等奖（银奖）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bl>
    <w:p>
      <w:pPr>
        <w:ind w:firstLine="640" w:firstLineChars="200"/>
        <w:rPr>
          <w:rFonts w:ascii="仿宋_GB2312" w:hAnsi="宋体" w:eastAsia="仿宋_GB2312"/>
          <w:sz w:val="32"/>
          <w:szCs w:val="32"/>
        </w:rPr>
      </w:pPr>
      <w:r>
        <w:rPr>
          <w:rFonts w:hint="eastAsia" w:ascii="仿宋_GB2312" w:hAnsi="宋体" w:eastAsia="仿宋_GB2312"/>
          <w:sz w:val="32"/>
          <w:szCs w:val="32"/>
        </w:rPr>
        <w:t>（3）学位课单科成绩低于70分者，每门次减5分；</w:t>
      </w:r>
    </w:p>
    <w:p>
      <w:pPr>
        <w:ind w:firstLine="640" w:firstLineChars="200"/>
        <w:outlineLvl w:val="1"/>
        <w:rPr>
          <w:rFonts w:ascii="楷体_GB2312" w:eastAsia="楷体_GB2312"/>
          <w:sz w:val="32"/>
          <w:szCs w:val="32"/>
        </w:rPr>
      </w:pPr>
      <w:r>
        <w:rPr>
          <w:rFonts w:hint="eastAsia" w:ascii="楷体_GB2312" w:eastAsia="楷体_GB2312"/>
          <w:sz w:val="32"/>
          <w:szCs w:val="32"/>
        </w:rPr>
        <w:t>（二）一年级硕士研究生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核算成绩</w:t>
      </w:r>
      <w:r>
        <w:rPr>
          <w:rFonts w:hint="eastAsia" w:ascii="仿宋_GB2312" w:hAnsi="仿宋_GB2312" w:eastAsia="仿宋_GB2312"/>
          <w:color w:val="000000"/>
          <w:sz w:val="32"/>
          <w:szCs w:val="32"/>
        </w:rPr>
        <w:t>=</w:t>
      </w:r>
      <w:r>
        <w:rPr>
          <w:rFonts w:hint="eastAsia" w:ascii="仿宋_GB2312" w:eastAsia="仿宋_GB2312"/>
          <w:color w:val="000000"/>
          <w:sz w:val="32"/>
          <w:szCs w:val="32"/>
        </w:rPr>
        <w:t>学业成绩+科研成绩+附加分。</w:t>
      </w:r>
    </w:p>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1.学业成绩（满分为40分）</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学业成绩=本科阶段加权学分成绩×40% </w:t>
      </w:r>
    </w:p>
    <w:p>
      <w:pPr>
        <w:ind w:firstLine="640" w:firstLineChars="200"/>
        <w:rPr>
          <w:rFonts w:ascii="仿宋_GB2312" w:eastAsia="仿宋_GB2312"/>
          <w:sz w:val="32"/>
          <w:szCs w:val="32"/>
        </w:rPr>
      </w:pPr>
      <w:r>
        <w:rPr>
          <w:rFonts w:hint="eastAsia" w:ascii="仿宋_GB2312" w:hAnsi="宋体" w:eastAsia="仿宋_GB2312"/>
          <w:sz w:val="32"/>
          <w:szCs w:val="32"/>
        </w:rPr>
        <w:t>由申请人本科时所就读院校的校级教务管理部门开具申请人学分成绩证明。证明材料必须为原件（即须加盖出具证明单位的红色印章）。</w:t>
      </w:r>
    </w:p>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2.科研业绩（满分为60分）</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所提交申请材料的认定时间范围为申请人本科就读期间，文章要求申请人指导教师为通讯作者之一，所就读学校为第一署名单位，获批专利权人须为本科生阶段就读学校的国家发明专利者，申请人所提交的申请材料必须与申请人研究方向一致。</w:t>
      </w:r>
    </w:p>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（1）科研论文</w:t>
      </w:r>
    </w:p>
    <w:p>
      <w:pPr>
        <w:ind w:firstLine="640" w:firstLineChars="200"/>
        <w:outlineLvl w:val="2"/>
        <w:rPr>
          <w:rFonts w:ascii="仿宋_GB2312" w:eastAsia="仿宋_GB2312"/>
          <w:color w:val="000000"/>
          <w:sz w:val="32"/>
          <w:szCs w:val="32"/>
        </w:rPr>
      </w:pPr>
      <w:r>
        <w:rPr>
          <w:rFonts w:hint="eastAsia" w:ascii="仿宋_GB2312" w:hAnsi="宋体" w:eastAsia="仿宋_GB2312"/>
          <w:sz w:val="32"/>
          <w:szCs w:val="32"/>
        </w:rPr>
        <w:t>在Nature、Science、Cell主刊以第一作者或并列第一作者全文发表学术论文者，在满足基本申请条件和参评资格要求时，直接评定为申请当年的国家奖学金获得者，</w:t>
      </w:r>
      <w:r>
        <w:rPr>
          <w:rFonts w:hint="eastAsia" w:ascii="仿宋_GB2312" w:eastAsia="仿宋_GB2312"/>
          <w:color w:val="000000"/>
          <w:sz w:val="32"/>
          <w:szCs w:val="32"/>
        </w:rPr>
        <w:t>不占用其所属评审类别的名额。</w:t>
      </w:r>
    </w:p>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科研论文加分细则：</w:t>
      </w:r>
    </w:p>
    <w:tbl>
      <w:tblPr>
        <w:tblStyle w:val="11"/>
        <w:tblpPr w:leftFromText="180" w:rightFromText="180" w:vertAnchor="text" w:horzAnchor="margin" w:tblpY="577"/>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1419"/>
        <w:gridCol w:w="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trPr>
        <w:tc>
          <w:tcPr>
            <w:tcW w:w="4076" w:type="dxa"/>
            <w:vAlign w:val="center"/>
          </w:tcPr>
          <w:p>
            <w:pPr>
              <w:widowControl/>
              <w:tabs>
                <w:tab w:val="left" w:pos="0"/>
              </w:tabs>
              <w:jc w:val="center"/>
              <w:rPr>
                <w:rFonts w:asciiTheme="minorEastAsia" w:hAnsiTheme="minorEastAsia" w:eastAsiaTheme="minorEastAsia"/>
                <w:sz w:val="24"/>
                <w:szCs w:val="28"/>
              </w:rPr>
            </w:pPr>
            <w:r>
              <w:rPr>
                <w:rFonts w:hint="eastAsia" w:cs="宋体" w:asciiTheme="minorEastAsia" w:hAnsiTheme="minorEastAsia" w:eastAsiaTheme="minorEastAsia"/>
                <w:sz w:val="24"/>
                <w:szCs w:val="28"/>
              </w:rPr>
              <w:t>发表刊物</w:t>
            </w:r>
          </w:p>
        </w:tc>
        <w:tc>
          <w:tcPr>
            <w:tcW w:w="1419" w:type="dxa"/>
            <w:vAlign w:val="center"/>
          </w:tcPr>
          <w:p>
            <w:pPr>
              <w:widowControl/>
              <w:tabs>
                <w:tab w:val="left" w:pos="0"/>
              </w:tabs>
              <w:jc w:val="center"/>
              <w:rPr>
                <w:rFonts w:asciiTheme="minorEastAsia" w:hAnsiTheme="minorEastAsia" w:eastAsiaTheme="minorEastAsia"/>
                <w:sz w:val="24"/>
                <w:szCs w:val="28"/>
              </w:rPr>
            </w:pPr>
            <w:r>
              <w:rPr>
                <w:rFonts w:hint="eastAsia" w:cs="宋体" w:asciiTheme="minorEastAsia" w:hAnsiTheme="minorEastAsia" w:eastAsiaTheme="minorEastAsia"/>
                <w:sz w:val="24"/>
                <w:szCs w:val="28"/>
              </w:rPr>
              <w:t>第一作者</w:t>
            </w:r>
            <w:r>
              <w:rPr>
                <w:rFonts w:cs="宋体" w:asciiTheme="minorEastAsia" w:hAnsiTheme="minorEastAsia" w:eastAsiaTheme="minorEastAsia"/>
                <w:sz w:val="24"/>
                <w:szCs w:val="28"/>
              </w:rPr>
              <w:br w:type="textWrapping"/>
            </w:r>
            <w:r>
              <w:rPr>
                <w:rFonts w:hint="eastAsia" w:cs="宋体" w:asciiTheme="minorEastAsia" w:hAnsiTheme="minorEastAsia" w:eastAsiaTheme="minorEastAsia"/>
                <w:sz w:val="24"/>
                <w:szCs w:val="28"/>
              </w:rPr>
              <w:t>得分</w:t>
            </w:r>
          </w:p>
        </w:tc>
        <w:tc>
          <w:tcPr>
            <w:tcW w:w="4220" w:type="dxa"/>
            <w:vAlign w:val="center"/>
          </w:tcPr>
          <w:p>
            <w:pPr>
              <w:widowControl/>
              <w:tabs>
                <w:tab w:val="left" w:pos="0"/>
              </w:tabs>
              <w:jc w:val="center"/>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6"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双一流学科群A类期刊论文</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60</w:t>
            </w:r>
          </w:p>
        </w:tc>
        <w:tc>
          <w:tcPr>
            <w:tcW w:w="4220" w:type="dxa"/>
            <w:vMerge w:val="restart"/>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1.科研论文认定范围为：参与完成大学生创新创业训练计划项目（或大学生创新性实验计划项目）并以第一作者在双一流学科群A类、B类期刊论文；SCI收录论文；EI收录论文；学校认定的国内A类学术期刊论文。</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2.科研论文要求申请人指导教师为通讯作者之一，所就读学校为第一署名单位。</w:t>
            </w:r>
          </w:p>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3.科研论文需正式发表或可网上在线（online）查询，需提供检索证明或网上在线全文打印件，经硕士导师签字认定。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双一流学科群B类期刊论文</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30</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6"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SCI收录论文（中科院一区（大类））</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20</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SCI收录论文（中科院二区（大类））</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10</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SCI收录论文（其他）</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EI收录论文</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5" w:hRule="atLeast"/>
        </w:trPr>
        <w:tc>
          <w:tcPr>
            <w:tcW w:w="4076" w:type="dxa"/>
            <w:vAlign w:val="center"/>
          </w:tcPr>
          <w:p>
            <w:pPr>
              <w:widowControl/>
              <w:shd w:val="clear" w:color="auto" w:fill="FFFFFF"/>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学校认定的国内A类学术期刊论文</w:t>
            </w:r>
          </w:p>
        </w:tc>
        <w:tc>
          <w:tcPr>
            <w:tcW w:w="1419" w:type="dxa"/>
            <w:vAlign w:val="center"/>
          </w:tcPr>
          <w:p>
            <w:pPr>
              <w:widowControl/>
              <w:shd w:val="clear" w:color="auto" w:fill="FFFFFF"/>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4220" w:type="dxa"/>
            <w:vMerge w:val="continue"/>
          </w:tcPr>
          <w:p>
            <w:pPr>
              <w:widowControl/>
              <w:shd w:val="clear" w:color="auto" w:fill="FFFFFF"/>
              <w:ind w:firstLine="480" w:firstLineChars="200"/>
              <w:rPr>
                <w:rFonts w:asciiTheme="minorEastAsia" w:hAnsiTheme="minorEastAsia" w:eastAsiaTheme="minorEastAsia"/>
                <w:sz w:val="24"/>
                <w:szCs w:val="28"/>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（2）发明专利</w:t>
      </w:r>
    </w:p>
    <w:tbl>
      <w:tblPr>
        <w:tblStyle w:val="11"/>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2017"/>
        <w:gridCol w:w="3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作者排名顺序</w:t>
            </w:r>
          </w:p>
        </w:tc>
        <w:tc>
          <w:tcPr>
            <w:tcW w:w="2017"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3581"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第一名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10</w:t>
            </w:r>
          </w:p>
        </w:tc>
        <w:tc>
          <w:tcPr>
            <w:tcW w:w="3581" w:type="dxa"/>
            <w:vMerge w:val="restart"/>
            <w:vAlign w:val="center"/>
          </w:tcPr>
          <w:p>
            <w:pPr>
              <w:widowControl/>
              <w:shd w:val="clear" w:color="auto" w:fill="FFFFFF"/>
              <w:spacing w:line="360" w:lineRule="auto"/>
              <w:rPr>
                <w:rFonts w:ascii="宋体" w:hAnsi="宋体"/>
                <w:sz w:val="24"/>
                <w:szCs w:val="24"/>
              </w:rPr>
            </w:pPr>
            <w:r>
              <w:rPr>
                <w:rFonts w:hint="eastAsia" w:ascii="宋体" w:hAnsi="宋体"/>
                <w:sz w:val="24"/>
                <w:szCs w:val="24"/>
              </w:rPr>
              <w:t>获批专利权人须为本科就读学校的国家发明专利者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第二名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4</w:t>
            </w:r>
          </w:p>
        </w:tc>
        <w:tc>
          <w:tcPr>
            <w:tcW w:w="3581" w:type="dxa"/>
            <w:vMerge w:val="continue"/>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第三名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3581" w:type="dxa"/>
            <w:vMerge w:val="continue"/>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3.附加分</w:t>
      </w:r>
    </w:p>
    <w:p>
      <w:pPr>
        <w:spacing w:line="600" w:lineRule="exact"/>
        <w:ind w:firstLine="640" w:firstLineChars="200"/>
        <w:rPr>
          <w:rFonts w:ascii="楷体_GB2312" w:hAnsi="宋体" w:eastAsia="楷体_GB2312"/>
          <w:b/>
          <w:color w:val="FF0000"/>
          <w:sz w:val="32"/>
          <w:szCs w:val="32"/>
        </w:rPr>
      </w:pPr>
      <w:r>
        <w:rPr>
          <w:rFonts w:hint="eastAsia" w:ascii="仿宋_GB2312" w:eastAsia="仿宋_GB2312"/>
          <w:sz w:val="32"/>
          <w:szCs w:val="32"/>
        </w:rPr>
        <w:t>（1）申请人为推荐免试攻读研究生者，加10分。</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黑体" w:hAnsi="黑体" w:eastAsia="黑体" w:cs="宋体"/>
                <w:sz w:val="28"/>
              </w:rPr>
            </w:pPr>
            <w:r>
              <w:rPr>
                <w:rFonts w:hint="eastAsia" w:ascii="黑体" w:hAnsi="黑体" w:eastAsia="黑体" w:cs="宋体"/>
                <w:sz w:val="28"/>
              </w:rPr>
              <w:t>获奖等级</w:t>
            </w:r>
          </w:p>
        </w:tc>
        <w:tc>
          <w:tcPr>
            <w:tcW w:w="2849" w:type="dxa"/>
          </w:tcPr>
          <w:p>
            <w:pPr>
              <w:widowControl/>
              <w:tabs>
                <w:tab w:val="left" w:pos="0"/>
              </w:tabs>
              <w:jc w:val="center"/>
              <w:rPr>
                <w:rFonts w:ascii="黑体" w:hAnsi="黑体" w:eastAsia="黑体" w:cs="宋体"/>
                <w:sz w:val="28"/>
              </w:rPr>
            </w:pPr>
            <w:r>
              <w:rPr>
                <w:rFonts w:hint="eastAsia" w:ascii="黑体" w:hAnsi="黑体" w:eastAsia="黑体" w:cs="宋体"/>
                <w:sz w:val="28"/>
              </w:rPr>
              <w:t>排名顺序</w:t>
            </w:r>
          </w:p>
        </w:tc>
        <w:tc>
          <w:tcPr>
            <w:tcW w:w="2603" w:type="dxa"/>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特等奖</w:t>
            </w:r>
          </w:p>
        </w:tc>
        <w:tc>
          <w:tcPr>
            <w:tcW w:w="2849"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3</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一等奖（金奖）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二等奖（银奖）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4"/>
                <w:szCs w:val="24"/>
              </w:rPr>
            </w:pPr>
            <w:r>
              <w:rPr>
                <w:rFonts w:hint="eastAsia" w:ascii="宋体" w:hAnsi="宋体" w:cs="宋体"/>
                <w:sz w:val="24"/>
                <w:szCs w:val="24"/>
              </w:rPr>
              <w:t>5</w:t>
            </w:r>
          </w:p>
        </w:tc>
      </w:tr>
    </w:tbl>
    <w:p>
      <w:pPr>
        <w:ind w:firstLine="640" w:firstLineChars="200"/>
        <w:rPr>
          <w:rFonts w:ascii="仿宋_GB2312" w:eastAsia="仿宋_GB2312"/>
          <w:sz w:val="32"/>
          <w:szCs w:val="32"/>
        </w:rPr>
      </w:pPr>
      <w:r>
        <w:rPr>
          <w:rFonts w:hint="eastAsia" w:ascii="楷体_GB2312" w:eastAsia="楷体_GB2312"/>
          <w:color w:val="000000"/>
          <w:sz w:val="32"/>
          <w:szCs w:val="32"/>
        </w:rPr>
        <w:t>（3）</w:t>
      </w:r>
      <w:r>
        <w:rPr>
          <w:rFonts w:hint="eastAsia" w:ascii="仿宋_GB2312" w:hAnsi="宋体" w:eastAsia="仿宋_GB2312"/>
          <w:sz w:val="32"/>
          <w:szCs w:val="32"/>
        </w:rPr>
        <w:t>通过大学英语六级考试者加5分，参加托福、雅思、GRE考试，成绩分别达到90分（含）、6.5分（含）、310分（含）以上者，加10分。按照就高不就低的原则加分，不重复加分。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（三）一年级博士研究生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核算成绩</w:t>
      </w:r>
      <w:r>
        <w:rPr>
          <w:rFonts w:hint="eastAsia" w:ascii="仿宋_GB2312" w:hAnsi="仿宋_GB2312" w:eastAsia="仿宋_GB2312"/>
          <w:color w:val="000000"/>
          <w:sz w:val="32"/>
          <w:szCs w:val="32"/>
        </w:rPr>
        <w:t>=</w:t>
      </w:r>
      <w:r>
        <w:rPr>
          <w:rFonts w:hint="eastAsia" w:ascii="仿宋_GB2312" w:eastAsia="仿宋_GB2312"/>
          <w:color w:val="000000"/>
          <w:sz w:val="32"/>
          <w:szCs w:val="32"/>
        </w:rPr>
        <w:t>学业成绩+科研成绩+附加分。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1.学业成绩（满分为40分）</w:t>
      </w:r>
    </w:p>
    <w:p>
      <w:pPr>
        <w:ind w:firstLine="640" w:firstLineChars="200"/>
        <w:rPr>
          <w:rFonts w:ascii="仿宋_GB2312" w:hAnsi="宋体" w:eastAsia="仿宋_GB2312"/>
          <w:sz w:val="32"/>
          <w:szCs w:val="32"/>
        </w:rPr>
      </w:pPr>
      <w:r>
        <w:rPr>
          <w:rFonts w:hint="eastAsia" w:ascii="仿宋_GB2312" w:hAnsi="宋体" w:eastAsia="仿宋_GB2312"/>
          <w:sz w:val="32"/>
          <w:szCs w:val="32"/>
        </w:rPr>
        <w:t>学业成绩=学位课加权平均分×40%。</w:t>
      </w:r>
    </w:p>
    <w:p>
      <w:pPr>
        <w:ind w:firstLine="640" w:firstLineChars="200"/>
        <w:rPr>
          <w:rFonts w:ascii="仿宋_GB2312" w:hAnsi="宋体" w:eastAsia="仿宋_GB2312"/>
          <w:sz w:val="32"/>
          <w:szCs w:val="32"/>
        </w:rPr>
      </w:pPr>
      <w:r>
        <w:rPr>
          <w:rFonts w:hint="eastAsia" w:ascii="仿宋_GB2312" w:hAnsi="宋体" w:eastAsia="仿宋_GB2312"/>
          <w:sz w:val="32"/>
          <w:szCs w:val="32"/>
        </w:rPr>
        <w:t>由申请人硕士研究生时所就读院校的研究生院或校级教务管理部门开具申请人学分成绩证明。证明材料必须为成绩单原件（即须加盖出具证明单位的红色印章）。</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2.科研业绩（满分为60分）</w:t>
      </w:r>
    </w:p>
    <w:p>
      <w:pPr>
        <w:ind w:firstLine="640" w:firstLineChars="200"/>
        <w:rPr>
          <w:rFonts w:ascii="仿宋_GB2312" w:eastAsia="仿宋_GB2312"/>
          <w:color w:val="000000"/>
          <w:sz w:val="32"/>
          <w:szCs w:val="32"/>
        </w:rPr>
      </w:pPr>
      <w:r>
        <w:rPr>
          <w:rFonts w:hint="eastAsia" w:ascii="仿宋_GB2312" w:hAnsi="宋体" w:eastAsia="仿宋_GB2312"/>
          <w:sz w:val="32"/>
          <w:szCs w:val="32"/>
        </w:rPr>
        <w:t>参照</w:t>
      </w:r>
      <w:r>
        <w:rPr>
          <w:rFonts w:hint="eastAsia" w:ascii="仿宋_GB2312" w:eastAsia="仿宋_GB2312"/>
          <w:color w:val="000000"/>
          <w:sz w:val="32"/>
          <w:szCs w:val="32"/>
        </w:rPr>
        <w:t>高年级博士研究生的评审指标体系执行。</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  </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3.附加分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参照</w:t>
      </w:r>
      <w:r>
        <w:rPr>
          <w:rFonts w:hint="eastAsia" w:ascii="仿宋_GB2312" w:eastAsia="仿宋_GB2312"/>
          <w:color w:val="000000"/>
          <w:sz w:val="32"/>
          <w:szCs w:val="32"/>
        </w:rPr>
        <w:t>高年级博士研究生的评审指标体系执行。</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五、评审程序</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（一）本人申请</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申请者需如实填写《生命科学学院研究生各类奖助学金评定打分表》并提供有关证明材料，经导师签署意见后向学院提出申请。</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（二）材料审核、认定与成绩核算</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学院组织导师代表、学生代表及工作人员对学生提交的材料进行审核与认定（学习成绩由学院研究生秘书负责审核与认定；论文发表情况、发明专利由导师代表审核与认定；思想政治品德相关内容由学院研究生辅导员与学生代表负责审核与认定）。</w:t>
      </w:r>
    </w:p>
    <w:p>
      <w:pPr>
        <w:ind w:firstLine="640" w:firstLineChars="200"/>
        <w:rPr>
          <w:rFonts w:ascii="仿宋_GB2312" w:hAnsi="宋体" w:eastAsia="仿宋_GB2312"/>
          <w:sz w:val="32"/>
          <w:szCs w:val="32"/>
        </w:rPr>
      </w:pPr>
      <w:r>
        <w:rPr>
          <w:rFonts w:hint="eastAsia" w:ascii="仿宋_GB2312" w:hAnsi="宋体" w:eastAsia="仿宋_GB2312" w:cs="Times New Roman"/>
          <w:sz w:val="32"/>
          <w:szCs w:val="32"/>
        </w:rPr>
        <w:t>2.学院评审工作领导小组根据评定指标体系和评分标准核算成绩</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3.根据核算成绩的高低顺序对</w:t>
      </w:r>
      <w:r>
        <w:rPr>
          <w:rFonts w:hint="eastAsia" w:ascii="仿宋_GB2312" w:eastAsia="仿宋_GB2312"/>
          <w:color w:val="000000"/>
          <w:sz w:val="32"/>
          <w:szCs w:val="32"/>
        </w:rPr>
        <w:t>申请人按照（1）一年级硕士研究生，（2）</w:t>
      </w:r>
      <w:r>
        <w:rPr>
          <w:rFonts w:hint="eastAsia" w:ascii="仿宋_GB2312" w:hAnsi="宋体" w:eastAsia="仿宋_GB2312"/>
          <w:sz w:val="32"/>
          <w:szCs w:val="32"/>
        </w:rPr>
        <w:t>高年级学术型硕士研究生，（3）高年级专业型硕士研究生，（4）一年级博士研究生，（5）高年级博士研究生等五个类别进行排序。</w:t>
      </w:r>
    </w:p>
    <w:p>
      <w:pPr>
        <w:ind w:firstLine="640" w:firstLineChars="200"/>
        <w:rPr>
          <w:rFonts w:ascii="仿宋_GB2312" w:hAnsi="宋体" w:eastAsia="仿宋_GB2312"/>
          <w:sz w:val="32"/>
          <w:szCs w:val="32"/>
        </w:rPr>
      </w:pPr>
      <w:r>
        <w:rPr>
          <w:rFonts w:hint="eastAsia" w:ascii="仿宋_GB2312" w:hAnsi="宋体" w:eastAsia="仿宋_GB2312"/>
          <w:sz w:val="32"/>
          <w:szCs w:val="32"/>
        </w:rPr>
        <w:t>4.按照每个类别指标数200%的比例确定答辩对象，其中每个学科点在每个类别内进入答辩环节的人数不超过2人。</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（三）评审答辩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1.每位答辩对象的答辩时间为5分钟；答辩对象按照相应指标体系中综合素质、学业情况、科研表现等内容进行申请情况陈述。</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2.教授委员会根据申请人答辩情况进行打分，满分10分。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（四）总评成绩</w:t>
      </w:r>
    </w:p>
    <w:p>
      <w:pPr>
        <w:ind w:firstLine="640" w:firstLineChars="200"/>
        <w:outlineLvl w:val="1"/>
        <w:rPr>
          <w:rFonts w:ascii="楷体_GB2312" w:eastAsia="楷体_GB2312"/>
          <w:color w:val="000000"/>
          <w:sz w:val="32"/>
          <w:szCs w:val="32"/>
        </w:rPr>
      </w:pPr>
      <w:r>
        <w:rPr>
          <w:rFonts w:hint="eastAsia" w:ascii="仿宋_GB2312" w:eastAsia="仿宋_GB2312"/>
          <w:sz w:val="32"/>
          <w:szCs w:val="32"/>
        </w:rPr>
        <w:t>总评成绩=核算成绩+答辩得分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（五）公示与申诉</w:t>
      </w:r>
    </w:p>
    <w:p>
      <w:pPr>
        <w:ind w:firstLine="640" w:firstLineChars="200"/>
        <w:rPr>
          <w:rFonts w:ascii="仿宋_GB2312" w:eastAsia="仿宋_GB2312"/>
          <w:sz w:val="32"/>
          <w:szCs w:val="32"/>
        </w:rPr>
      </w:pPr>
      <w:r>
        <w:rPr>
          <w:rFonts w:hint="eastAsia" w:ascii="仿宋_GB2312" w:eastAsia="仿宋_GB2312"/>
          <w:sz w:val="32"/>
          <w:szCs w:val="32"/>
        </w:rPr>
        <w:t>1.根据总评成绩确定国家奖学金最终获奖人选，结果在学院公示5天。对评审结果有异议的研究生，可在公示期内向评审工作组提出申诉，评审工作组应及时研究并予以答复。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2.研究生如仍对学院的答复存在异议，可在学校公示阶段向学校研究生奖助工作领导小组提请申诉。</w:t>
      </w:r>
    </w:p>
    <w:p>
      <w:pPr>
        <w:ind w:firstLine="640" w:firstLineChars="200"/>
        <w:outlineLvl w:val="0"/>
        <w:rPr>
          <w:rFonts w:ascii="黑体" w:hAnsi="宋体" w:eastAsia="黑体"/>
          <w:sz w:val="32"/>
          <w:szCs w:val="32"/>
        </w:rPr>
      </w:pPr>
      <w:r>
        <w:rPr>
          <w:rFonts w:hint="eastAsia" w:ascii="黑体" w:hAnsi="宋体" w:eastAsia="黑体"/>
          <w:sz w:val="32"/>
          <w:szCs w:val="32"/>
        </w:rPr>
        <w:t>六、其它</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指标体系中有关科研业绩和附加分的申请材料，均须为申请人申请各类奖助学金时从未使用过的材料，即申请人曾获得各类奖助学金时已经使用过的申请材料不得再次使用。</w:t>
      </w:r>
    </w:p>
    <w:p>
      <w:pPr>
        <w:ind w:firstLine="640" w:firstLineChars="200"/>
        <w:rPr>
          <w:rFonts w:ascii="仿宋_GB2312" w:eastAsia="仿宋_GB2312"/>
          <w:sz w:val="32"/>
          <w:szCs w:val="32"/>
        </w:rPr>
      </w:pPr>
      <w:r>
        <w:rPr>
          <w:rFonts w:hint="eastAsia" w:ascii="仿宋_GB2312" w:eastAsia="仿宋_GB2312"/>
          <w:sz w:val="32"/>
          <w:szCs w:val="32"/>
        </w:rPr>
        <w:t>2.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pPr>
        <w:ind w:firstLine="640" w:firstLineChars="200"/>
        <w:rPr>
          <w:rFonts w:ascii="仿宋_GB2312" w:eastAsia="仿宋_GB2312"/>
          <w:sz w:val="32"/>
          <w:szCs w:val="32"/>
        </w:rPr>
      </w:pPr>
      <w:r>
        <w:rPr>
          <w:rFonts w:hint="eastAsia" w:ascii="仿宋_GB2312" w:hAnsi="宋体" w:eastAsia="仿宋_GB2312"/>
          <w:sz w:val="32"/>
          <w:szCs w:val="32"/>
        </w:rPr>
        <w:t>3.</w:t>
      </w:r>
      <w:r>
        <w:rPr>
          <w:rFonts w:hint="eastAsia" w:ascii="仿宋_GB2312" w:hAnsi="宋体" w:eastAsia="仿宋_GB2312" w:cs="Times New Roman"/>
          <w:sz w:val="32"/>
          <w:szCs w:val="32"/>
        </w:rPr>
        <w:t>本细则</w:t>
      </w:r>
      <w:r>
        <w:rPr>
          <w:rFonts w:hint="eastAsia" w:ascii="仿宋_GB2312" w:eastAsia="仿宋_GB2312"/>
          <w:sz w:val="32"/>
          <w:szCs w:val="32"/>
        </w:rPr>
        <w:t>自发文之日起实施</w:t>
      </w:r>
      <w:r>
        <w:rPr>
          <w:rFonts w:hint="eastAsia" w:ascii="仿宋_GB2312" w:hAnsi="宋体" w:eastAsia="仿宋_GB2312" w:cs="Times New Roman"/>
          <w:sz w:val="32"/>
          <w:szCs w:val="32"/>
        </w:rPr>
        <w:t>。</w:t>
      </w:r>
      <w:r>
        <w:rPr>
          <w:rFonts w:hint="eastAsia" w:ascii="仿宋_GB2312" w:eastAsia="仿宋_GB2312"/>
          <w:sz w:val="32"/>
          <w:szCs w:val="32"/>
        </w:rPr>
        <w:t>原《生命科学学院</w:t>
      </w:r>
      <w:r>
        <w:rPr>
          <w:rFonts w:hint="eastAsia" w:ascii="仿宋_GB2312" w:eastAsia="仿宋_GB2312" w:cs="Times New Roman"/>
          <w:sz w:val="32"/>
          <w:szCs w:val="32"/>
        </w:rPr>
        <w:t>研究生国家奖学金评审实施细则</w:t>
      </w:r>
      <w:r>
        <w:rPr>
          <w:rFonts w:hint="eastAsia" w:ascii="仿宋_GB2312" w:eastAsia="仿宋_GB2312"/>
          <w:sz w:val="32"/>
          <w:szCs w:val="32"/>
        </w:rPr>
        <w:t>》同时废止。</w:t>
      </w:r>
    </w:p>
    <w:p>
      <w:pPr>
        <w:ind w:firstLine="640" w:firstLineChars="200"/>
        <w:rPr>
          <w:rFonts w:ascii="仿宋_GB2312" w:eastAsia="仿宋_GB2312"/>
          <w:sz w:val="32"/>
          <w:szCs w:val="32"/>
        </w:rPr>
      </w:pPr>
      <w:r>
        <w:rPr>
          <w:rFonts w:hint="eastAsia" w:ascii="仿宋_GB2312" w:eastAsia="仿宋_GB2312"/>
          <w:sz w:val="32"/>
          <w:szCs w:val="32"/>
        </w:rPr>
        <w:t>4.本细则由学院评审工作组负责解释。</w:t>
      </w:r>
    </w:p>
    <w:sectPr>
      <w:footerReference r:id="rId3" w:type="default"/>
      <w:pgSz w:w="11906" w:h="16838"/>
      <w:pgMar w:top="1440" w:right="1133"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046980"/>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83"/>
    <w:rsid w:val="00013700"/>
    <w:rsid w:val="00026F4A"/>
    <w:rsid w:val="00057837"/>
    <w:rsid w:val="00064EE1"/>
    <w:rsid w:val="000678BC"/>
    <w:rsid w:val="000679D0"/>
    <w:rsid w:val="000703A8"/>
    <w:rsid w:val="00075FA1"/>
    <w:rsid w:val="000957FE"/>
    <w:rsid w:val="000B3115"/>
    <w:rsid w:val="000B5DDC"/>
    <w:rsid w:val="000B6261"/>
    <w:rsid w:val="000C6728"/>
    <w:rsid w:val="000C6DB9"/>
    <w:rsid w:val="000C784D"/>
    <w:rsid w:val="000D2B68"/>
    <w:rsid w:val="000D45E6"/>
    <w:rsid w:val="001007C5"/>
    <w:rsid w:val="00112149"/>
    <w:rsid w:val="00115067"/>
    <w:rsid w:val="00126E4F"/>
    <w:rsid w:val="0017121A"/>
    <w:rsid w:val="00174188"/>
    <w:rsid w:val="001B3085"/>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C1817"/>
    <w:rsid w:val="002C521F"/>
    <w:rsid w:val="002D1839"/>
    <w:rsid w:val="002D2962"/>
    <w:rsid w:val="002E273E"/>
    <w:rsid w:val="002F21B2"/>
    <w:rsid w:val="00300B8F"/>
    <w:rsid w:val="0032353E"/>
    <w:rsid w:val="003239E1"/>
    <w:rsid w:val="0032600F"/>
    <w:rsid w:val="003368FD"/>
    <w:rsid w:val="003418FE"/>
    <w:rsid w:val="00357D8E"/>
    <w:rsid w:val="00362882"/>
    <w:rsid w:val="00367489"/>
    <w:rsid w:val="003823E8"/>
    <w:rsid w:val="00382794"/>
    <w:rsid w:val="00385062"/>
    <w:rsid w:val="00387901"/>
    <w:rsid w:val="003B24B3"/>
    <w:rsid w:val="003B49AF"/>
    <w:rsid w:val="003D2125"/>
    <w:rsid w:val="003E5821"/>
    <w:rsid w:val="003E7B8B"/>
    <w:rsid w:val="00404BE4"/>
    <w:rsid w:val="00407FF7"/>
    <w:rsid w:val="00410E53"/>
    <w:rsid w:val="00411B39"/>
    <w:rsid w:val="00424746"/>
    <w:rsid w:val="004323AF"/>
    <w:rsid w:val="00433E6B"/>
    <w:rsid w:val="004373A8"/>
    <w:rsid w:val="0043754C"/>
    <w:rsid w:val="00443141"/>
    <w:rsid w:val="00450E8B"/>
    <w:rsid w:val="00453B01"/>
    <w:rsid w:val="00487D18"/>
    <w:rsid w:val="00492A89"/>
    <w:rsid w:val="00496733"/>
    <w:rsid w:val="004B2748"/>
    <w:rsid w:val="004B729F"/>
    <w:rsid w:val="004C51A7"/>
    <w:rsid w:val="0052770E"/>
    <w:rsid w:val="00537FBF"/>
    <w:rsid w:val="005503F0"/>
    <w:rsid w:val="0055394E"/>
    <w:rsid w:val="005540E5"/>
    <w:rsid w:val="00556904"/>
    <w:rsid w:val="005573AF"/>
    <w:rsid w:val="00557928"/>
    <w:rsid w:val="00563674"/>
    <w:rsid w:val="0056743E"/>
    <w:rsid w:val="00570783"/>
    <w:rsid w:val="005741FD"/>
    <w:rsid w:val="0058434F"/>
    <w:rsid w:val="00585EC5"/>
    <w:rsid w:val="005977D1"/>
    <w:rsid w:val="005B341F"/>
    <w:rsid w:val="005B6F32"/>
    <w:rsid w:val="005D2003"/>
    <w:rsid w:val="005D7F04"/>
    <w:rsid w:val="005E471F"/>
    <w:rsid w:val="005E72D2"/>
    <w:rsid w:val="0060272F"/>
    <w:rsid w:val="00645B6B"/>
    <w:rsid w:val="00645ED7"/>
    <w:rsid w:val="00647663"/>
    <w:rsid w:val="00662D96"/>
    <w:rsid w:val="00686448"/>
    <w:rsid w:val="006A17FE"/>
    <w:rsid w:val="006C717A"/>
    <w:rsid w:val="006F5476"/>
    <w:rsid w:val="00754428"/>
    <w:rsid w:val="00757F18"/>
    <w:rsid w:val="00761665"/>
    <w:rsid w:val="00761F68"/>
    <w:rsid w:val="00776E03"/>
    <w:rsid w:val="00783850"/>
    <w:rsid w:val="00783DE5"/>
    <w:rsid w:val="007840D6"/>
    <w:rsid w:val="00786757"/>
    <w:rsid w:val="007A6F3C"/>
    <w:rsid w:val="007A75A6"/>
    <w:rsid w:val="007C6418"/>
    <w:rsid w:val="007D40B9"/>
    <w:rsid w:val="007E1184"/>
    <w:rsid w:val="007E62A2"/>
    <w:rsid w:val="007F7685"/>
    <w:rsid w:val="0080206A"/>
    <w:rsid w:val="0080284F"/>
    <w:rsid w:val="00805C91"/>
    <w:rsid w:val="00822DC1"/>
    <w:rsid w:val="00823E53"/>
    <w:rsid w:val="008368F3"/>
    <w:rsid w:val="00862B81"/>
    <w:rsid w:val="0088285C"/>
    <w:rsid w:val="0088635F"/>
    <w:rsid w:val="008B340E"/>
    <w:rsid w:val="008B3837"/>
    <w:rsid w:val="008B433A"/>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F12F5"/>
    <w:rsid w:val="00A20C23"/>
    <w:rsid w:val="00A37130"/>
    <w:rsid w:val="00A37A7A"/>
    <w:rsid w:val="00A461BD"/>
    <w:rsid w:val="00A4636A"/>
    <w:rsid w:val="00A605B4"/>
    <w:rsid w:val="00AB7682"/>
    <w:rsid w:val="00AE167E"/>
    <w:rsid w:val="00AE1D1D"/>
    <w:rsid w:val="00AF5BB4"/>
    <w:rsid w:val="00B154EB"/>
    <w:rsid w:val="00B17BB3"/>
    <w:rsid w:val="00B32ACB"/>
    <w:rsid w:val="00B4346F"/>
    <w:rsid w:val="00B4598E"/>
    <w:rsid w:val="00B50C51"/>
    <w:rsid w:val="00B53A08"/>
    <w:rsid w:val="00B71419"/>
    <w:rsid w:val="00B85FD2"/>
    <w:rsid w:val="00B90ECA"/>
    <w:rsid w:val="00BA4FB3"/>
    <w:rsid w:val="00BB5BC3"/>
    <w:rsid w:val="00BD18F4"/>
    <w:rsid w:val="00BD4B21"/>
    <w:rsid w:val="00BE5262"/>
    <w:rsid w:val="00BF233B"/>
    <w:rsid w:val="00BF3AE7"/>
    <w:rsid w:val="00C218CD"/>
    <w:rsid w:val="00C53E00"/>
    <w:rsid w:val="00C66148"/>
    <w:rsid w:val="00C71580"/>
    <w:rsid w:val="00C7292E"/>
    <w:rsid w:val="00C85B0E"/>
    <w:rsid w:val="00C944B0"/>
    <w:rsid w:val="00CA3D0C"/>
    <w:rsid w:val="00CA51CD"/>
    <w:rsid w:val="00CE32BE"/>
    <w:rsid w:val="00CE3667"/>
    <w:rsid w:val="00CF0A99"/>
    <w:rsid w:val="00CF7340"/>
    <w:rsid w:val="00D10C56"/>
    <w:rsid w:val="00D22AA3"/>
    <w:rsid w:val="00D426DA"/>
    <w:rsid w:val="00D4713C"/>
    <w:rsid w:val="00D606D7"/>
    <w:rsid w:val="00D66CC8"/>
    <w:rsid w:val="00D9103E"/>
    <w:rsid w:val="00D915B2"/>
    <w:rsid w:val="00D91E83"/>
    <w:rsid w:val="00D956A5"/>
    <w:rsid w:val="00D97F1B"/>
    <w:rsid w:val="00DA4397"/>
    <w:rsid w:val="00DB3832"/>
    <w:rsid w:val="00DB3D0F"/>
    <w:rsid w:val="00E006AA"/>
    <w:rsid w:val="00E10A40"/>
    <w:rsid w:val="00E258BE"/>
    <w:rsid w:val="00E27C79"/>
    <w:rsid w:val="00E27E78"/>
    <w:rsid w:val="00E43626"/>
    <w:rsid w:val="00E4779E"/>
    <w:rsid w:val="00E63B69"/>
    <w:rsid w:val="00ED06E3"/>
    <w:rsid w:val="00EE207A"/>
    <w:rsid w:val="00F011D7"/>
    <w:rsid w:val="00F1599D"/>
    <w:rsid w:val="00F25A8E"/>
    <w:rsid w:val="00F31113"/>
    <w:rsid w:val="00F523DC"/>
    <w:rsid w:val="00F57309"/>
    <w:rsid w:val="00F808C4"/>
    <w:rsid w:val="00F81885"/>
    <w:rsid w:val="00F93CCE"/>
    <w:rsid w:val="00FA03DA"/>
    <w:rsid w:val="00FA43AE"/>
    <w:rsid w:val="00FA6B39"/>
    <w:rsid w:val="00FB16EE"/>
    <w:rsid w:val="00FB2358"/>
    <w:rsid w:val="00FB7D1C"/>
    <w:rsid w:val="00FC0D41"/>
    <w:rsid w:val="00FC4A3C"/>
    <w:rsid w:val="00FF2BC6"/>
    <w:rsid w:val="00FF2D3A"/>
    <w:rsid w:val="05E94D73"/>
    <w:rsid w:val="11C10354"/>
    <w:rsid w:val="1AFC4333"/>
    <w:rsid w:val="226E5CA0"/>
    <w:rsid w:val="3DBF53B9"/>
    <w:rsid w:val="402D61D4"/>
    <w:rsid w:val="4795634D"/>
    <w:rsid w:val="52585B62"/>
    <w:rsid w:val="5AD03ADB"/>
    <w:rsid w:val="5DCD6F46"/>
    <w:rsid w:val="66A86D16"/>
    <w:rsid w:val="75E75558"/>
    <w:rsid w:val="7B1E0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sz w:val="18"/>
      <w:szCs w:val="18"/>
    </w:rPr>
  </w:style>
  <w:style w:type="paragraph" w:styleId="3">
    <w:name w:val="annotation text"/>
    <w:basedOn w:val="1"/>
    <w:link w:val="23"/>
    <w:semiHidden/>
    <w:unhideWhenUsed/>
    <w:qFormat/>
    <w:uiPriority w:val="0"/>
    <w:pPr>
      <w:jc w:val="left"/>
    </w:pPr>
  </w:style>
  <w:style w:type="paragraph" w:styleId="4">
    <w:name w:val="Body Text"/>
    <w:basedOn w:val="1"/>
    <w:link w:val="20"/>
    <w:qFormat/>
    <w:uiPriority w:val="0"/>
    <w:pPr>
      <w:jc w:val="center"/>
    </w:pPr>
    <w:rPr>
      <w:b/>
      <w:bCs/>
      <w:sz w:val="24"/>
      <w:szCs w:val="24"/>
    </w:rPr>
  </w:style>
  <w:style w:type="paragraph" w:styleId="5">
    <w:name w:val="Plain Text"/>
    <w:basedOn w:val="1"/>
    <w:link w:val="17"/>
    <w:qFormat/>
    <w:uiPriority w:val="99"/>
    <w:rPr>
      <w:rFonts w:ascii="宋体" w:hAnsi="Courier New" w:cs="Courier New"/>
      <w:szCs w:val="21"/>
    </w:rPr>
  </w:style>
  <w:style w:type="paragraph" w:styleId="6">
    <w:name w:val="Balloon Text"/>
    <w:basedOn w:val="1"/>
    <w:link w:val="21"/>
    <w:semiHidden/>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annotation reference"/>
    <w:basedOn w:val="12"/>
    <w:semiHidden/>
    <w:unhideWhenUsed/>
    <w:qFormat/>
    <w:uiPriority w:val="0"/>
    <w:rPr>
      <w:sz w:val="21"/>
      <w:szCs w:val="21"/>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纯文本 Char"/>
    <w:basedOn w:val="12"/>
    <w:link w:val="5"/>
    <w:qFormat/>
    <w:uiPriority w:val="99"/>
    <w:rPr>
      <w:rFonts w:ascii="宋体" w:hAnsi="Courier New" w:eastAsia="宋体" w:cs="Courier New"/>
      <w:szCs w:val="21"/>
    </w:rPr>
  </w:style>
  <w:style w:type="character" w:customStyle="1" w:styleId="18">
    <w:name w:val="文档结构图 Char"/>
    <w:basedOn w:val="12"/>
    <w:link w:val="2"/>
    <w:semiHidden/>
    <w:qFormat/>
    <w:uiPriority w:val="99"/>
    <w:rPr>
      <w:rFonts w:ascii="宋体" w:eastAsia="宋体"/>
      <w:sz w:val="18"/>
      <w:szCs w:val="18"/>
    </w:rPr>
  </w:style>
  <w:style w:type="character" w:customStyle="1" w:styleId="19">
    <w:name w:val="正文文本 Char"/>
    <w:qFormat/>
    <w:uiPriority w:val="0"/>
    <w:rPr>
      <w:b/>
      <w:bCs/>
      <w:sz w:val="24"/>
      <w:szCs w:val="24"/>
    </w:rPr>
  </w:style>
  <w:style w:type="character" w:customStyle="1" w:styleId="20">
    <w:name w:val="正文文本 Char1"/>
    <w:basedOn w:val="12"/>
    <w:link w:val="4"/>
    <w:semiHidden/>
    <w:qFormat/>
    <w:uiPriority w:val="99"/>
  </w:style>
  <w:style w:type="character" w:customStyle="1" w:styleId="21">
    <w:name w:val="批注框文本 Char"/>
    <w:basedOn w:val="12"/>
    <w:link w:val="6"/>
    <w:semiHidden/>
    <w:qFormat/>
    <w:uiPriority w:val="0"/>
    <w:rPr>
      <w:rFonts w:ascii="Calibri" w:hAnsi="Calibri" w:cs="黑体"/>
      <w:kern w:val="2"/>
      <w:sz w:val="18"/>
      <w:szCs w:val="18"/>
    </w:rPr>
  </w:style>
  <w:style w:type="paragraph" w:styleId="22">
    <w:name w:val="List Paragraph"/>
    <w:basedOn w:val="1"/>
    <w:unhideWhenUsed/>
    <w:qFormat/>
    <w:uiPriority w:val="99"/>
    <w:pPr>
      <w:ind w:firstLine="420" w:firstLineChars="200"/>
    </w:pPr>
  </w:style>
  <w:style w:type="character" w:customStyle="1" w:styleId="23">
    <w:name w:val="批注文字 Char"/>
    <w:basedOn w:val="12"/>
    <w:link w:val="3"/>
    <w:semiHidden/>
    <w:qFormat/>
    <w:uiPriority w:val="0"/>
    <w:rPr>
      <w:rFonts w:ascii="Calibri" w:hAnsi="Calibri" w:cs="黑体"/>
      <w:kern w:val="2"/>
      <w:sz w:val="21"/>
      <w:szCs w:val="22"/>
    </w:rPr>
  </w:style>
  <w:style w:type="character" w:customStyle="1" w:styleId="24">
    <w:name w:val="批注主题 Char"/>
    <w:basedOn w:val="23"/>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318E2-26FE-41BE-AB03-7B342941F6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822</Words>
  <Characters>4686</Characters>
  <Lines>39</Lines>
  <Paragraphs>10</Paragraphs>
  <TotalTime>0</TotalTime>
  <ScaleCrop>false</ScaleCrop>
  <LinksUpToDate>false</LinksUpToDate>
  <CharactersWithSpaces>5498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2020-09-24T03:32:00Z</dcterms:created>
  <dc:creator>王有材</dc:creator>
  <cp:lastModifiedBy>Administrator</cp:lastModifiedBy>
  <cp:lastPrinted>2020-09-24T02:48:00Z</cp:lastPrinted>
  <dcterms:modified xsi:type="dcterms:W3CDTF">2021-10-01T09:51:17Z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D2E2B15F424F4DA6B6CF4CF8C570729C</vt:lpwstr>
  </property>
</Properties>
</file>